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topLinePunct w:val="0"/>
        <w:bidi w:val="0"/>
        <w:spacing w:line="594" w:lineRule="exact"/>
        <w:jc w:val="center"/>
        <w:textAlignment w:val="auto"/>
        <w:rPr>
          <w:rFonts w:eastAsia="黑体"/>
          <w:bCs/>
          <w:color w:val="000000"/>
          <w:kern w:val="2"/>
          <w:sz w:val="52"/>
          <w:szCs w:val="52"/>
        </w:rPr>
      </w:pPr>
      <w:r>
        <w:rPr>
          <w:rFonts w:hint="eastAsia" w:eastAsia="黑体"/>
          <w:bCs/>
          <w:color w:val="000000"/>
          <w:spacing w:val="30"/>
          <w:kern w:val="2"/>
          <w:sz w:val="52"/>
          <w:szCs w:val="52"/>
          <w:fitText w:val="5742" w:id="0"/>
        </w:rPr>
        <w:t>国家市场监督管理总</w:t>
      </w:r>
      <w:r>
        <w:rPr>
          <w:rFonts w:hint="eastAsia" w:eastAsia="黑体"/>
          <w:bCs/>
          <w:color w:val="000000"/>
          <w:spacing w:val="1"/>
          <w:kern w:val="2"/>
          <w:sz w:val="52"/>
          <w:szCs w:val="52"/>
          <w:fitText w:val="5742" w:id="0"/>
        </w:rPr>
        <w:t>局</w:t>
      </w:r>
    </w:p>
    <w:p>
      <w:pPr>
        <w:keepNext w:val="0"/>
        <w:keepLines w:val="0"/>
        <w:pageBreakBefore w:val="0"/>
        <w:widowControl w:val="0"/>
        <w:kinsoku/>
        <w:wordWrap/>
        <w:topLinePunct w:val="0"/>
        <w:bidi w:val="0"/>
        <w:spacing w:line="594" w:lineRule="exact"/>
        <w:jc w:val="center"/>
        <w:textAlignment w:val="auto"/>
        <w:rPr>
          <w:rFonts w:eastAsia="仿宋_GB2312"/>
          <w:color w:val="000000"/>
          <w:kern w:val="2"/>
          <w:sz w:val="44"/>
          <w:szCs w:val="44"/>
        </w:rPr>
      </w:pPr>
      <w:r>
        <w:rPr>
          <w:rFonts w:hint="eastAsia" w:eastAsia="黑体"/>
          <w:bCs/>
          <w:color w:val="000000"/>
          <w:spacing w:val="175"/>
          <w:kern w:val="2"/>
          <w:sz w:val="52"/>
          <w:szCs w:val="52"/>
          <w:fitText w:val="5742" w:id="1"/>
        </w:rPr>
        <w:t>行政处罚决定</w:t>
      </w:r>
      <w:r>
        <w:rPr>
          <w:rFonts w:hint="eastAsia" w:eastAsia="黑体"/>
          <w:bCs/>
          <w:color w:val="000000"/>
          <w:spacing w:val="1"/>
          <w:kern w:val="2"/>
          <w:sz w:val="52"/>
          <w:szCs w:val="52"/>
          <w:fitText w:val="5742" w:id="1"/>
        </w:rPr>
        <w:t>书</w:t>
      </w:r>
    </w:p>
    <w:p>
      <w:pPr>
        <w:keepNext w:val="0"/>
        <w:keepLines w:val="0"/>
        <w:pageBreakBefore w:val="0"/>
        <w:widowControl w:val="0"/>
        <w:kinsoku/>
        <w:wordWrap/>
        <w:topLinePunct w:val="0"/>
        <w:bidi w:val="0"/>
        <w:spacing w:line="594" w:lineRule="exact"/>
        <w:jc w:val="center"/>
        <w:textAlignment w:val="auto"/>
        <w:rPr>
          <w:rFonts w:hint="eastAsia" w:eastAsia="仿宋_GB2312"/>
          <w:kern w:val="2"/>
          <w:sz w:val="32"/>
          <w:szCs w:val="32"/>
        </w:rPr>
      </w:pPr>
      <w:r>
        <w:rPr>
          <w:rFonts w:hint="eastAsia" w:eastAsia="仿宋_GB2312"/>
          <w:kern w:val="2"/>
          <w:sz w:val="32"/>
          <w:szCs w:val="32"/>
        </w:rPr>
        <w:t>国市监处〔2020〕</w:t>
      </w:r>
      <w:r>
        <w:rPr>
          <w:rFonts w:hint="eastAsia" w:eastAsia="仿宋_GB2312"/>
          <w:kern w:val="2"/>
          <w:sz w:val="32"/>
          <w:szCs w:val="32"/>
          <w:lang w:val="en-US" w:eastAsia="zh-CN"/>
        </w:rPr>
        <w:t>27</w:t>
      </w:r>
      <w:bookmarkStart w:id="0" w:name="_GoBack"/>
      <w:bookmarkEnd w:id="0"/>
      <w:r>
        <w:rPr>
          <w:rFonts w:hint="eastAsia" w:eastAsia="仿宋_GB2312"/>
          <w:kern w:val="2"/>
          <w:sz w:val="32"/>
          <w:szCs w:val="32"/>
        </w:rPr>
        <w:t>号</w:t>
      </w:r>
    </w:p>
    <w:p>
      <w:pPr>
        <w:keepNext w:val="0"/>
        <w:keepLines w:val="0"/>
        <w:pageBreakBefore w:val="0"/>
        <w:widowControl w:val="0"/>
        <w:kinsoku/>
        <w:wordWrap/>
        <w:topLinePunct w:val="0"/>
        <w:bidi w:val="0"/>
        <w:spacing w:line="594" w:lineRule="exact"/>
        <w:jc w:val="center"/>
        <w:textAlignment w:val="auto"/>
        <w:rPr>
          <w:rFonts w:hint="eastAsia" w:eastAsia="仿宋_GB2312"/>
          <w:kern w:val="2"/>
          <w:sz w:val="28"/>
          <w:szCs w:val="28"/>
        </w:rPr>
      </w:pP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eastAsia="仿宋_GB2312"/>
          <w:kern w:val="2"/>
          <w:sz w:val="32"/>
          <w:szCs w:val="32"/>
        </w:rPr>
      </w:pPr>
      <w:r>
        <w:rPr>
          <w:rFonts w:hint="eastAsia" w:eastAsia="仿宋_GB2312"/>
          <w:kern w:val="2"/>
          <w:sz w:val="32"/>
          <w:szCs w:val="32"/>
        </w:rPr>
        <w:t>当事人：阅文集团（China Literature Limited）</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eastAsia="仿宋_GB2312"/>
          <w:kern w:val="2"/>
          <w:sz w:val="32"/>
          <w:szCs w:val="32"/>
        </w:rPr>
      </w:pPr>
      <w:r>
        <w:rPr>
          <w:rFonts w:hint="eastAsia" w:eastAsia="仿宋_GB2312"/>
          <w:kern w:val="2"/>
          <w:sz w:val="32"/>
          <w:szCs w:val="32"/>
        </w:rPr>
        <w:t>住  所：上海市浦东新区碧波路690号6号楼</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eastAsia="仿宋_GB2312"/>
          <w:kern w:val="2"/>
          <w:sz w:val="32"/>
          <w:szCs w:val="32"/>
        </w:rPr>
      </w:pP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eastAsia="仿宋_GB2312"/>
          <w:kern w:val="2"/>
          <w:sz w:val="32"/>
          <w:szCs w:val="32"/>
        </w:rPr>
      </w:pPr>
      <w:r>
        <w:rPr>
          <w:rFonts w:hint="eastAsia" w:eastAsia="仿宋_GB2312"/>
          <w:kern w:val="2"/>
          <w:sz w:val="32"/>
          <w:szCs w:val="32"/>
        </w:rPr>
        <w:t>根据《反垄断法》，本机关于</w:t>
      </w:r>
      <w:r>
        <w:rPr>
          <w:rFonts w:hint="default" w:ascii="Times New Roman" w:hAnsi="Times New Roman" w:eastAsia="仿宋_GB2312" w:cs="Times New Roman"/>
          <w:kern w:val="2"/>
          <w:sz w:val="32"/>
          <w:szCs w:val="32"/>
          <w:lang w:val="en-US" w:eastAsia="zh-CN"/>
        </w:rPr>
        <w:t>20</w:t>
      </w:r>
      <w:r>
        <w:rPr>
          <w:rFonts w:hint="eastAsia" w:ascii="Times New Roman" w:hAnsi="Times New Roman" w:eastAsia="仿宋_GB2312" w:cs="Times New Roman"/>
          <w:kern w:val="2"/>
          <w:sz w:val="32"/>
          <w:szCs w:val="32"/>
          <w:lang w:val="en-US" w:eastAsia="zh-CN"/>
        </w:rPr>
        <w:t>20</w:t>
      </w:r>
      <w:r>
        <w:rPr>
          <w:rFonts w:hint="default" w:ascii="Times New Roman" w:hAnsi="Times New Roman" w:eastAsia="仿宋_GB2312" w:cs="Times New Roman"/>
          <w:kern w:val="2"/>
          <w:sz w:val="32"/>
          <w:szCs w:val="32"/>
          <w:lang w:val="en-US" w:eastAsia="zh-CN"/>
        </w:rPr>
        <w:t>年</w:t>
      </w:r>
      <w:r>
        <w:rPr>
          <w:rFonts w:hint="eastAsia" w:ascii="Times New Roman" w:hAnsi="Times New Roman" w:eastAsia="仿宋_GB2312" w:cs="Times New Roman"/>
          <w:kern w:val="2"/>
          <w:sz w:val="32"/>
          <w:szCs w:val="32"/>
          <w:lang w:val="en-US" w:eastAsia="zh-CN"/>
        </w:rPr>
        <w:t>11</w:t>
      </w:r>
      <w:r>
        <w:rPr>
          <w:rFonts w:hint="default" w:ascii="Times New Roman" w:hAnsi="Times New Roman" w:eastAsia="仿宋_GB2312" w:cs="Times New Roman"/>
          <w:kern w:val="2"/>
          <w:sz w:val="32"/>
          <w:szCs w:val="32"/>
          <w:lang w:val="en-US" w:eastAsia="zh-CN"/>
        </w:rPr>
        <w:t>月</w:t>
      </w:r>
      <w:r>
        <w:rPr>
          <w:rFonts w:hint="eastAsia" w:ascii="Times New Roman" w:hAnsi="Times New Roman" w:eastAsia="仿宋_GB2312" w:cs="Times New Roman"/>
          <w:kern w:val="2"/>
          <w:sz w:val="32"/>
          <w:szCs w:val="32"/>
          <w:lang w:val="en-US" w:eastAsia="zh-CN"/>
        </w:rPr>
        <w:t>4</w:t>
      </w:r>
      <w:r>
        <w:rPr>
          <w:rFonts w:hint="default" w:ascii="Times New Roman" w:hAnsi="Times New Roman" w:eastAsia="仿宋_GB2312" w:cs="Times New Roman"/>
          <w:kern w:val="2"/>
          <w:sz w:val="32"/>
          <w:szCs w:val="32"/>
          <w:lang w:val="en-US" w:eastAsia="zh-CN"/>
        </w:rPr>
        <w:t>日</w:t>
      </w:r>
      <w:r>
        <w:rPr>
          <w:rFonts w:hint="eastAsia" w:eastAsia="仿宋_GB2312"/>
          <w:kern w:val="2"/>
          <w:sz w:val="32"/>
          <w:szCs w:val="32"/>
        </w:rPr>
        <w:t>对</w:t>
      </w:r>
      <w:r>
        <w:rPr>
          <w:rFonts w:hint="default" w:ascii="Times New Roman" w:hAnsi="Times New Roman" w:eastAsia="仿宋_GB2312" w:cs="Times New Roman"/>
          <w:b w:val="0"/>
          <w:bCs/>
          <w:kern w:val="2"/>
          <w:sz w:val="32"/>
          <w:szCs w:val="32"/>
          <w:lang w:val="en-US" w:eastAsia="zh-CN" w:bidi="ar-SA"/>
        </w:rPr>
        <w:t>阅文集团（China Literature Limited，</w:t>
      </w:r>
      <w:r>
        <w:rPr>
          <w:rFonts w:hint="default" w:ascii="Times New Roman" w:hAnsi="Times New Roman" w:eastAsia="仿宋_GB2312" w:cs="Times New Roman"/>
          <w:sz w:val="32"/>
          <w:szCs w:val="32"/>
          <w:lang w:eastAsia="zh-CN"/>
        </w:rPr>
        <w:t>以下简称阅文）</w:t>
      </w:r>
      <w:r>
        <w:rPr>
          <w:rFonts w:hint="default" w:ascii="Times New Roman" w:hAnsi="Times New Roman" w:eastAsia="仿宋_GB2312" w:cs="Times New Roman"/>
          <w:sz w:val="32"/>
          <w:szCs w:val="32"/>
          <w:lang w:val="en-US" w:eastAsia="zh-CN"/>
        </w:rPr>
        <w:t>收购</w:t>
      </w:r>
      <w:r>
        <w:rPr>
          <w:rFonts w:hint="default" w:ascii="Times New Roman" w:hAnsi="Times New Roman" w:eastAsia="仿宋_GB2312" w:cs="Times New Roman"/>
          <w:sz w:val="32"/>
          <w:szCs w:val="32"/>
          <w:lang w:eastAsia="zh-CN"/>
        </w:rPr>
        <w:t>新丽传媒控股有限公司（</w:t>
      </w:r>
      <w:r>
        <w:rPr>
          <w:rFonts w:hint="default" w:ascii="Times New Roman" w:hAnsi="Times New Roman" w:eastAsia="仿宋_GB2312" w:cs="Times New Roman"/>
          <w:sz w:val="32"/>
          <w:szCs w:val="32"/>
          <w:lang w:val="en-US" w:eastAsia="zh-CN"/>
        </w:rPr>
        <w:t>New Classics Media Limited</w:t>
      </w:r>
      <w:r>
        <w:rPr>
          <w:rFonts w:hint="default" w:ascii="Times New Roman" w:hAnsi="Times New Roman" w:eastAsia="仿宋_GB2312" w:cs="Times New Roman"/>
          <w:sz w:val="32"/>
          <w:szCs w:val="32"/>
          <w:lang w:eastAsia="zh-CN"/>
        </w:rPr>
        <w:t>，以下简称新丽传媒）</w:t>
      </w:r>
      <w:r>
        <w:rPr>
          <w:rFonts w:hint="default" w:ascii="Times New Roman" w:hAnsi="Times New Roman" w:eastAsia="仿宋_GB2312" w:cs="Times New Roman"/>
          <w:sz w:val="32"/>
          <w:szCs w:val="32"/>
          <w:lang w:val="en-US" w:eastAsia="zh-CN"/>
        </w:rPr>
        <w:t>股权</w:t>
      </w:r>
      <w:r>
        <w:rPr>
          <w:rFonts w:hint="eastAsia" w:eastAsia="仿宋_GB2312"/>
          <w:kern w:val="2"/>
          <w:sz w:val="32"/>
          <w:szCs w:val="32"/>
        </w:rPr>
        <w:t>涉嫌未依法申报违法实施经营者集中案进行立案调查。</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eastAsia="仿宋_GB2312"/>
          <w:kern w:val="2"/>
          <w:sz w:val="32"/>
          <w:szCs w:val="32"/>
        </w:rPr>
      </w:pPr>
      <w:r>
        <w:rPr>
          <w:rFonts w:hint="eastAsia" w:eastAsia="仿宋_GB2312"/>
          <w:kern w:val="2"/>
          <w:sz w:val="32"/>
          <w:szCs w:val="32"/>
        </w:rPr>
        <w:t>经查，该案构成未依法申报违法实施的经营者集中，但不具有排除、限制竞争的效果。本机关按照《行政处罚法》的规定，向</w:t>
      </w:r>
      <w:r>
        <w:rPr>
          <w:rFonts w:hint="eastAsia" w:eastAsia="仿宋_GB2312" w:cs="Times New Roman"/>
          <w:sz w:val="32"/>
          <w:lang w:eastAsia="zh-CN"/>
        </w:rPr>
        <w:t>阅文</w:t>
      </w:r>
      <w:r>
        <w:rPr>
          <w:rFonts w:hint="eastAsia" w:eastAsia="仿宋_GB2312"/>
          <w:kern w:val="2"/>
          <w:sz w:val="32"/>
          <w:szCs w:val="32"/>
        </w:rPr>
        <w:t>送达了《行政处罚告知书》，告知其拟作出行政处罚决定的事实、理由、证据、处罚内容，以及其依法享有的陈述权、申辩权和要求听证权。</w:t>
      </w:r>
      <w:r>
        <w:rPr>
          <w:rFonts w:hint="eastAsia" w:eastAsia="仿宋_GB2312" w:cs="Times New Roman"/>
          <w:sz w:val="32"/>
          <w:lang w:eastAsia="zh-CN"/>
        </w:rPr>
        <w:t>阅文书面来函放弃</w:t>
      </w:r>
      <w:r>
        <w:rPr>
          <w:rFonts w:hint="eastAsia" w:eastAsia="仿宋_GB2312"/>
          <w:kern w:val="2"/>
          <w:sz w:val="32"/>
          <w:szCs w:val="32"/>
        </w:rPr>
        <w:t>陈述、申辩</w:t>
      </w:r>
      <w:r>
        <w:rPr>
          <w:rFonts w:hint="eastAsia" w:eastAsia="仿宋_GB2312"/>
          <w:kern w:val="2"/>
          <w:sz w:val="32"/>
          <w:szCs w:val="32"/>
          <w:lang w:eastAsia="zh-CN"/>
        </w:rPr>
        <w:t>和</w:t>
      </w:r>
      <w:r>
        <w:rPr>
          <w:rFonts w:hint="eastAsia" w:eastAsia="仿宋_GB2312"/>
          <w:kern w:val="2"/>
          <w:sz w:val="32"/>
          <w:szCs w:val="32"/>
        </w:rPr>
        <w:t>要求听证</w:t>
      </w:r>
      <w:r>
        <w:rPr>
          <w:rFonts w:hint="eastAsia" w:eastAsia="仿宋_GB2312"/>
          <w:kern w:val="2"/>
          <w:sz w:val="32"/>
          <w:szCs w:val="32"/>
          <w:lang w:eastAsia="zh-CN"/>
        </w:rPr>
        <w:t>的权利</w:t>
      </w:r>
      <w:r>
        <w:rPr>
          <w:rFonts w:hint="eastAsia" w:eastAsia="仿宋_GB2312"/>
          <w:kern w:val="2"/>
          <w:sz w:val="32"/>
          <w:szCs w:val="32"/>
        </w:rPr>
        <w:t>。本案现已调查、审理终结。</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一、基本情况</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ascii="楷体_GB2312" w:eastAsia="楷体_GB2312"/>
          <w:kern w:val="2"/>
          <w:sz w:val="32"/>
          <w:szCs w:val="32"/>
        </w:rPr>
      </w:pPr>
      <w:r>
        <w:rPr>
          <w:rFonts w:hint="eastAsia" w:ascii="楷体_GB2312" w:eastAsia="楷体_GB2312"/>
          <w:kern w:val="2"/>
          <w:sz w:val="32"/>
          <w:szCs w:val="32"/>
        </w:rPr>
        <w:t>（一）交易方。</w:t>
      </w:r>
    </w:p>
    <w:p>
      <w:pPr>
        <w:pStyle w:val="7"/>
        <w:pageBreakBefore w:val="0"/>
        <w:kinsoku/>
        <w:wordWrap/>
        <w:topLinePunct w:val="0"/>
        <w:bidi w:val="0"/>
        <w:spacing w:line="594" w:lineRule="exact"/>
        <w:ind w:left="0" w:firstLine="643"/>
        <w:rPr>
          <w:rFonts w:hint="default" w:ascii="Times New Roman" w:hAnsi="Times New Roman" w:cs="Times New Roman"/>
          <w:b w:val="0"/>
          <w:bCs/>
          <w:highlight w:val="none"/>
        </w:rPr>
      </w:pPr>
      <w:r>
        <w:rPr>
          <w:rFonts w:hint="default" w:ascii="Times New Roman" w:hAnsi="Times New Roman" w:eastAsia="仿宋_GB2312" w:cs="Times New Roman"/>
          <w:b w:val="0"/>
          <w:bCs/>
          <w:kern w:val="2"/>
          <w:sz w:val="32"/>
          <w:szCs w:val="32"/>
          <w:lang w:val="en-US" w:eastAsia="zh-CN" w:bidi="ar-SA"/>
        </w:rPr>
        <w:t>收购方：</w:t>
      </w:r>
      <w:r>
        <w:rPr>
          <w:rFonts w:hint="eastAsia" w:eastAsia="仿宋_GB2312" w:cs="Times New Roman"/>
          <w:b w:val="0"/>
          <w:bCs/>
          <w:kern w:val="2"/>
          <w:sz w:val="32"/>
          <w:szCs w:val="32"/>
          <w:lang w:val="en-US" w:eastAsia="zh-CN" w:bidi="ar-SA"/>
        </w:rPr>
        <w:t>阅文</w:t>
      </w:r>
      <w:r>
        <w:rPr>
          <w:rFonts w:hint="default" w:ascii="Times New Roman" w:hAnsi="Times New Roman" w:eastAsia="仿宋_GB2312" w:cs="Times New Roman"/>
          <w:b w:val="0"/>
          <w:bCs/>
          <w:kern w:val="2"/>
          <w:sz w:val="32"/>
          <w:szCs w:val="32"/>
          <w:lang w:val="en-US" w:eastAsia="zh-CN" w:bidi="ar-SA"/>
        </w:rPr>
        <w:t>。</w:t>
      </w:r>
      <w:r>
        <w:rPr>
          <w:rFonts w:hint="default" w:ascii="Times New Roman" w:hAnsi="Times New Roman" w:cs="Times New Roman"/>
          <w:b w:val="0"/>
          <w:bCs/>
          <w:highlight w:val="none"/>
        </w:rPr>
        <w:t>201</w:t>
      </w:r>
      <w:r>
        <w:rPr>
          <w:rFonts w:hint="eastAsia" w:ascii="Times New Roman" w:hAnsi="Times New Roman" w:cs="Times New Roman"/>
          <w:b w:val="0"/>
          <w:bCs/>
          <w:highlight w:val="none"/>
          <w:lang w:val="en-US" w:eastAsia="zh-CN"/>
        </w:rPr>
        <w:t>3</w:t>
      </w:r>
      <w:r>
        <w:rPr>
          <w:rFonts w:hint="default" w:ascii="Times New Roman" w:hAnsi="Times New Roman" w:cs="Times New Roman"/>
          <w:b w:val="0"/>
          <w:bCs/>
          <w:highlight w:val="none"/>
        </w:rPr>
        <w:t>年</w:t>
      </w:r>
      <w:r>
        <w:rPr>
          <w:rFonts w:hint="eastAsia" w:ascii="Times New Roman" w:hAnsi="Times New Roman" w:cs="Times New Roman"/>
          <w:b w:val="0"/>
          <w:bCs/>
          <w:highlight w:val="none"/>
          <w:lang w:val="en-US" w:eastAsia="zh-CN"/>
        </w:rPr>
        <w:t>4</w:t>
      </w:r>
      <w:r>
        <w:rPr>
          <w:rFonts w:hint="default" w:ascii="Times New Roman" w:hAnsi="Times New Roman" w:cs="Times New Roman"/>
          <w:b w:val="0"/>
          <w:bCs/>
          <w:highlight w:val="none"/>
        </w:rPr>
        <w:t>月</w:t>
      </w:r>
      <w:r>
        <w:rPr>
          <w:rFonts w:hint="default" w:ascii="Times New Roman" w:hAnsi="Times New Roman" w:cs="Times New Roman"/>
          <w:b w:val="0"/>
          <w:bCs/>
          <w:lang w:eastAsia="zh-CN"/>
        </w:rPr>
        <w:t>在</w:t>
      </w:r>
      <w:r>
        <w:rPr>
          <w:rFonts w:hint="default" w:ascii="Times New Roman" w:hAnsi="Times New Roman" w:cs="Times New Roman"/>
        </w:rPr>
        <w:t>开曼群岛</w:t>
      </w:r>
      <w:r>
        <w:rPr>
          <w:rFonts w:hint="default" w:ascii="Times New Roman" w:hAnsi="Times New Roman" w:cs="Times New Roman"/>
          <w:b w:val="0"/>
          <w:bCs/>
          <w:lang w:eastAsia="zh-CN"/>
        </w:rPr>
        <w:t>注册</w:t>
      </w:r>
      <w:r>
        <w:rPr>
          <w:rFonts w:hint="default" w:ascii="Times New Roman" w:hAnsi="Times New Roman" w:cs="Times New Roman"/>
          <w:b w:val="0"/>
          <w:bCs/>
          <w:highlight w:val="none"/>
        </w:rPr>
        <w:t>成立，2017年11月在香港联交所主板上市</w:t>
      </w:r>
      <w:r>
        <w:rPr>
          <w:rFonts w:hint="default" w:ascii="Times New Roman" w:hAnsi="Times New Roman" w:cs="Times New Roman"/>
          <w:b w:val="0"/>
          <w:bCs/>
          <w:highlight w:val="none"/>
          <w:lang w:eastAsia="zh-CN"/>
        </w:rPr>
        <w:t>，</w:t>
      </w:r>
      <w:r>
        <w:rPr>
          <w:rFonts w:hint="default" w:ascii="Times New Roman" w:hAnsi="Times New Roman" w:cs="Times New Roman"/>
          <w:lang w:eastAsia="zh-CN"/>
        </w:rPr>
        <w:t>通过协议控制</w:t>
      </w:r>
      <w:r>
        <w:rPr>
          <w:rFonts w:hint="default" w:ascii="Times New Roman" w:hAnsi="Times New Roman" w:cs="Times New Roman"/>
          <w:highlight w:val="none"/>
          <w:lang w:eastAsia="zh-CN"/>
        </w:rPr>
        <w:t>境内运营实体上海阅文信息技术有限公司等</w:t>
      </w:r>
      <w:r>
        <w:rPr>
          <w:rFonts w:hint="eastAsia" w:ascii="Times New Roman" w:hAnsi="Times New Roman" w:cs="Times New Roman"/>
          <w:lang w:eastAsia="zh-CN"/>
        </w:rPr>
        <w:t>，</w:t>
      </w:r>
      <w:r>
        <w:rPr>
          <w:rFonts w:hint="default" w:ascii="Times New Roman" w:hAnsi="Times New Roman" w:cs="Times New Roman"/>
          <w:highlight w:val="none"/>
        </w:rPr>
        <w:t>主要从事阅读服务、版权商业化、作家培养及经纪</w:t>
      </w:r>
      <w:r>
        <w:rPr>
          <w:rFonts w:hint="default" w:ascii="Times New Roman" w:hAnsi="Times New Roman" w:cs="Times New Roman"/>
          <w:highlight w:val="none"/>
          <w:lang w:eastAsia="zh-CN"/>
        </w:rPr>
        <w:t>等业务</w:t>
      </w:r>
      <w:r>
        <w:rPr>
          <w:rFonts w:hint="eastAsia" w:ascii="Times New Roman" w:hAnsi="Times New Roman" w:cs="Times New Roman"/>
          <w:b w:val="0"/>
          <w:bCs/>
          <w:lang w:eastAsia="zh-CN"/>
        </w:rPr>
        <w:t>，</w:t>
      </w:r>
      <w:r>
        <w:rPr>
          <w:rFonts w:hint="default" w:ascii="Times New Roman" w:hAnsi="Times New Roman" w:cs="Times New Roman"/>
          <w:b w:val="0"/>
          <w:bCs/>
          <w:highlight w:val="none"/>
          <w:lang w:eastAsia="zh-CN"/>
        </w:rPr>
        <w:t>最终控制人是</w:t>
      </w:r>
      <w:r>
        <w:rPr>
          <w:rFonts w:hint="default" w:ascii="Times New Roman" w:hAnsi="Times New Roman" w:cs="Times New Roman"/>
          <w:highlight w:val="none"/>
        </w:rPr>
        <w:t>腾讯控股有限公司</w:t>
      </w:r>
      <w:r>
        <w:rPr>
          <w:rFonts w:hint="default" w:ascii="Times New Roman" w:hAnsi="Times New Roman" w:cs="Times New Roman"/>
          <w:highlight w:val="none"/>
          <w:lang w:eastAsia="zh-CN"/>
        </w:rPr>
        <w:t>，</w:t>
      </w:r>
      <w:r>
        <w:rPr>
          <w:rFonts w:hint="default" w:ascii="Times New Roman" w:hAnsi="Times New Roman" w:cs="Times New Roman"/>
        </w:rPr>
        <w:t>持股比例</w:t>
      </w:r>
      <w:r>
        <w:rPr>
          <w:rFonts w:hint="default" w:ascii="Times New Roman" w:hAnsi="Times New Roman" w:cs="Times New Roman"/>
          <w:lang w:eastAsia="zh-CN"/>
        </w:rPr>
        <w:t>约</w:t>
      </w:r>
      <w:r>
        <w:rPr>
          <w:rFonts w:hint="default" w:ascii="Times New Roman" w:hAnsi="Times New Roman" w:cs="Times New Roman"/>
        </w:rPr>
        <w:t>为5</w:t>
      </w:r>
      <w:r>
        <w:rPr>
          <w:rFonts w:hint="eastAsia" w:ascii="Times New Roman" w:hAnsi="Times New Roman" w:cs="Times New Roman"/>
          <w:lang w:val="en-US" w:eastAsia="zh-CN"/>
        </w:rPr>
        <w:t>9.18</w:t>
      </w:r>
      <w:r>
        <w:rPr>
          <w:rFonts w:hint="default" w:ascii="Times New Roman" w:hAnsi="Times New Roman" w:cs="Times New Roman"/>
        </w:rPr>
        <w:t>%</w:t>
      </w:r>
      <w:r>
        <w:rPr>
          <w:rFonts w:hint="eastAsia" w:ascii="Times New Roman" w:hAnsi="Times New Roman" w:cs="Times New Roman"/>
          <w:b w:val="0"/>
          <w:bCs/>
          <w:highlight w:val="none"/>
          <w:lang w:eastAsia="zh-CN"/>
        </w:rPr>
        <w:t>。</w:t>
      </w:r>
      <w:r>
        <w:rPr>
          <w:rFonts w:hint="default" w:ascii="Times New Roman" w:hAnsi="Times New Roman" w:cs="Times New Roman"/>
          <w:b w:val="0"/>
          <w:bCs/>
          <w:highlight w:val="none"/>
        </w:rPr>
        <w:t>阅文2017年度全球营业额</w:t>
      </w:r>
      <w:r>
        <w:rPr>
          <w:rFonts w:hint="default" w:ascii="Times New Roman" w:hAnsi="Times New Roman" w:cs="Times New Roman"/>
          <w:b w:val="0"/>
          <w:bCs/>
          <w:highlight w:val="none"/>
          <w:lang w:eastAsia="zh-CN"/>
        </w:rPr>
        <w:t>为</w:t>
      </w:r>
      <w:r>
        <w:rPr>
          <w:rFonts w:hint="eastAsia" w:ascii="Times New Roman" w:hAnsi="Times New Roman" w:cs="Times New Roman"/>
          <w:b w:val="0"/>
          <w:bCs/>
          <w:highlight w:val="none"/>
          <w:lang w:val="en-US" w:eastAsia="zh-CN"/>
        </w:rPr>
        <w:t>（略）</w:t>
      </w:r>
      <w:r>
        <w:rPr>
          <w:rFonts w:hint="default" w:ascii="Times New Roman" w:hAnsi="Times New Roman" w:cs="Times New Roman"/>
          <w:b w:val="0"/>
          <w:bCs/>
          <w:highlight w:val="none"/>
          <w:lang w:eastAsia="zh-CN"/>
        </w:rPr>
        <w:t>（币种下同），</w:t>
      </w:r>
      <w:r>
        <w:rPr>
          <w:rFonts w:hint="default" w:ascii="Times New Roman" w:hAnsi="Times New Roman" w:cs="Times New Roman"/>
          <w:b w:val="0"/>
          <w:bCs/>
          <w:highlight w:val="none"/>
        </w:rPr>
        <w:t>中国境内营业额为</w:t>
      </w:r>
      <w:r>
        <w:rPr>
          <w:rFonts w:hint="eastAsia" w:ascii="Times New Roman" w:hAnsi="Times New Roman" w:cs="Times New Roman"/>
          <w:b w:val="0"/>
          <w:bCs/>
          <w:highlight w:val="none"/>
          <w:lang w:val="en-US" w:eastAsia="zh-CN"/>
        </w:rPr>
        <w:t>（略）</w:t>
      </w:r>
      <w:r>
        <w:rPr>
          <w:rFonts w:hint="default" w:ascii="Times New Roman" w:hAnsi="Times New Roman" w:cs="Times New Roman"/>
          <w:b w:val="0"/>
          <w:bCs/>
          <w:highlight w:val="none"/>
        </w:rPr>
        <w:t>。</w:t>
      </w:r>
    </w:p>
    <w:p>
      <w:pPr>
        <w:pStyle w:val="7"/>
        <w:pageBreakBefore w:val="0"/>
        <w:kinsoku/>
        <w:wordWrap/>
        <w:topLinePunct w:val="0"/>
        <w:bidi w:val="0"/>
        <w:spacing w:line="594" w:lineRule="exact"/>
        <w:ind w:left="0" w:firstLine="643"/>
        <w:rPr>
          <w:rFonts w:hint="default" w:ascii="Times New Roman" w:hAnsi="Times New Roman" w:cs="Times New Roman"/>
          <w:b w:val="0"/>
          <w:bCs/>
        </w:rPr>
      </w:pPr>
      <w:r>
        <w:rPr>
          <w:rFonts w:hint="default" w:ascii="Times New Roman" w:hAnsi="Times New Roman" w:eastAsia="仿宋_GB2312" w:cs="Times New Roman"/>
          <w:b w:val="0"/>
          <w:bCs/>
          <w:kern w:val="2"/>
          <w:sz w:val="32"/>
          <w:szCs w:val="32"/>
          <w:lang w:val="en-US" w:eastAsia="zh-CN" w:bidi="ar-SA"/>
        </w:rPr>
        <w:t>被收购方：</w:t>
      </w:r>
      <w:r>
        <w:rPr>
          <w:rFonts w:hint="eastAsia"/>
        </w:rPr>
        <w:t>新丽传媒</w:t>
      </w:r>
      <w:r>
        <w:rPr>
          <w:rFonts w:hint="default" w:ascii="Times New Roman" w:hAnsi="Times New Roman" w:cs="Times New Roman"/>
          <w:b w:val="0"/>
          <w:bCs/>
        </w:rPr>
        <w:t>。</w:t>
      </w:r>
      <w:r>
        <w:rPr>
          <w:rFonts w:hint="default" w:ascii="Times New Roman" w:hAnsi="Times New Roman" w:cs="Times New Roman"/>
          <w:b w:val="0"/>
          <w:bCs/>
          <w:highlight w:val="none"/>
        </w:rPr>
        <w:t>20</w:t>
      </w:r>
      <w:r>
        <w:rPr>
          <w:rFonts w:hint="eastAsia" w:ascii="Times New Roman" w:hAnsi="Times New Roman" w:cs="Times New Roman"/>
          <w:b w:val="0"/>
          <w:bCs/>
          <w:highlight w:val="none"/>
          <w:lang w:val="en-US" w:eastAsia="zh-CN"/>
        </w:rPr>
        <w:t>18</w:t>
      </w:r>
      <w:r>
        <w:rPr>
          <w:rFonts w:hint="default" w:ascii="Times New Roman" w:hAnsi="Times New Roman" w:cs="Times New Roman"/>
          <w:b w:val="0"/>
          <w:bCs/>
          <w:highlight w:val="none"/>
        </w:rPr>
        <w:t>年</w:t>
      </w:r>
      <w:r>
        <w:rPr>
          <w:rFonts w:hint="eastAsia" w:ascii="Times New Roman" w:hAnsi="Times New Roman" w:cs="Times New Roman"/>
          <w:b w:val="0"/>
          <w:bCs/>
          <w:highlight w:val="none"/>
          <w:lang w:val="en-US" w:eastAsia="zh-CN"/>
        </w:rPr>
        <w:t>5月</w:t>
      </w:r>
      <w:r>
        <w:rPr>
          <w:rFonts w:hint="eastAsia" w:ascii="Times New Roman" w:hAnsi="Times New Roman" w:cs="Times New Roman"/>
          <w:b w:val="0"/>
          <w:bCs/>
          <w:highlight w:val="none"/>
          <w:lang w:eastAsia="zh-CN"/>
        </w:rPr>
        <w:t>在</w:t>
      </w:r>
      <w:r>
        <w:rPr>
          <w:rFonts w:hint="eastAsia"/>
          <w:highlight w:val="none"/>
        </w:rPr>
        <w:t>开曼群岛</w:t>
      </w:r>
      <w:r>
        <w:rPr>
          <w:rFonts w:hint="default" w:ascii="Times New Roman" w:hAnsi="Times New Roman" w:cs="Times New Roman"/>
          <w:b w:val="0"/>
          <w:bCs/>
          <w:highlight w:val="none"/>
          <w:lang w:eastAsia="zh-CN"/>
        </w:rPr>
        <w:t>注册</w:t>
      </w:r>
      <w:r>
        <w:rPr>
          <w:rFonts w:hint="default" w:ascii="Times New Roman" w:hAnsi="Times New Roman" w:cs="Times New Roman"/>
          <w:b w:val="0"/>
          <w:bCs/>
          <w:highlight w:val="none"/>
        </w:rPr>
        <w:t>成立，</w:t>
      </w:r>
      <w:r>
        <w:rPr>
          <w:rFonts w:hint="eastAsia"/>
          <w:lang w:eastAsia="zh-CN"/>
        </w:rPr>
        <w:t>通过协议控制境内运营实体</w:t>
      </w:r>
      <w:r>
        <w:rPr>
          <w:rFonts w:hint="eastAsia"/>
        </w:rPr>
        <w:t>新丽传媒集团有限公司</w:t>
      </w:r>
      <w:r>
        <w:rPr>
          <w:rFonts w:hint="eastAsia"/>
          <w:lang w:eastAsia="zh-CN"/>
        </w:rPr>
        <w:t>，</w:t>
      </w:r>
      <w:r>
        <w:rPr>
          <w:rFonts w:hint="default" w:ascii="Times New Roman" w:hAnsi="Times New Roman" w:cs="Times New Roman"/>
          <w:b w:val="0"/>
          <w:bCs/>
        </w:rPr>
        <w:t>主要</w:t>
      </w:r>
      <w:r>
        <w:rPr>
          <w:rFonts w:hint="default" w:ascii="Times New Roman" w:hAnsi="Times New Roman" w:cs="Times New Roman"/>
          <w:b w:val="0"/>
          <w:bCs/>
          <w:lang w:eastAsia="zh-CN"/>
        </w:rPr>
        <w:t>从事</w:t>
      </w:r>
      <w:r>
        <w:rPr>
          <w:rFonts w:hint="default" w:ascii="Times New Roman" w:hAnsi="Times New Roman" w:cs="Times New Roman"/>
          <w:b w:val="0"/>
          <w:bCs/>
        </w:rPr>
        <w:t>电视剧制作、电影制作、网络剧制作、全球节目发行、娱乐营销和艺人经纪等</w:t>
      </w:r>
      <w:r>
        <w:rPr>
          <w:rFonts w:hint="default" w:ascii="Times New Roman" w:hAnsi="Times New Roman" w:cs="Times New Roman"/>
          <w:b w:val="0"/>
          <w:bCs/>
          <w:lang w:eastAsia="zh-CN"/>
        </w:rPr>
        <w:t>业务</w:t>
      </w:r>
      <w:r>
        <w:rPr>
          <w:rFonts w:hint="eastAsia" w:ascii="Times New Roman" w:hAnsi="Times New Roman" w:cs="Times New Roman"/>
          <w:b w:val="0"/>
          <w:bCs/>
          <w:lang w:eastAsia="zh-CN"/>
        </w:rPr>
        <w:t>，原</w:t>
      </w:r>
      <w:r>
        <w:rPr>
          <w:rFonts w:hint="default" w:ascii="Times New Roman" w:hAnsi="Times New Roman" w:cs="Times New Roman"/>
          <w:b w:val="0"/>
          <w:bCs/>
          <w:highlight w:val="none"/>
          <w:lang w:eastAsia="zh-CN"/>
        </w:rPr>
        <w:t>最终控制人是</w:t>
      </w:r>
      <w:r>
        <w:rPr>
          <w:rFonts w:hint="eastAsia" w:ascii="Times New Roman" w:hAnsi="Times New Roman" w:cs="Times New Roman"/>
          <w:b w:val="0"/>
          <w:bCs/>
          <w:highlight w:val="none"/>
          <w:lang w:val="en-US" w:eastAsia="zh-CN"/>
        </w:rPr>
        <w:t>（略）</w:t>
      </w:r>
      <w:r>
        <w:rPr>
          <w:rFonts w:hint="eastAsia"/>
          <w:highlight w:val="none"/>
          <w:lang w:eastAsia="zh-CN"/>
        </w:rPr>
        <w:t>。</w:t>
      </w:r>
      <w:r>
        <w:rPr>
          <w:rFonts w:hint="default" w:ascii="Times New Roman" w:hAnsi="Times New Roman" w:cs="Times New Roman"/>
          <w:b w:val="0"/>
          <w:bCs/>
        </w:rPr>
        <w:t>新丽传媒2017年度全球营业额为</w:t>
      </w:r>
      <w:r>
        <w:rPr>
          <w:rFonts w:hint="eastAsia" w:ascii="Times New Roman" w:hAnsi="Times New Roman" w:cs="Times New Roman"/>
          <w:b w:val="0"/>
          <w:bCs/>
          <w:highlight w:val="none"/>
          <w:lang w:val="en-US" w:eastAsia="zh-CN"/>
        </w:rPr>
        <w:t>（略）</w:t>
      </w:r>
      <w:r>
        <w:rPr>
          <w:rFonts w:hint="default" w:ascii="Times New Roman" w:hAnsi="Times New Roman" w:cs="Times New Roman"/>
          <w:b w:val="0"/>
          <w:bCs/>
          <w:lang w:eastAsia="zh-CN"/>
        </w:rPr>
        <w:t>，</w:t>
      </w:r>
      <w:r>
        <w:rPr>
          <w:rFonts w:hint="default" w:ascii="Times New Roman" w:hAnsi="Times New Roman" w:cs="Times New Roman"/>
          <w:b w:val="0"/>
          <w:bCs/>
        </w:rPr>
        <w:t>中国境内营业额为</w:t>
      </w:r>
      <w:r>
        <w:rPr>
          <w:rFonts w:hint="eastAsia" w:ascii="Times New Roman" w:hAnsi="Times New Roman" w:cs="Times New Roman"/>
          <w:b w:val="0"/>
          <w:bCs/>
          <w:highlight w:val="none"/>
          <w:lang w:val="en-US" w:eastAsia="zh-CN"/>
        </w:rPr>
        <w:t>（略）</w:t>
      </w:r>
      <w:r>
        <w:rPr>
          <w:rFonts w:hint="default" w:ascii="Times New Roman" w:hAnsi="Times New Roman" w:cs="Times New Roman"/>
          <w:b w:val="0"/>
          <w:bCs/>
        </w:rPr>
        <w:t>。</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ascii="楷体_GB2312" w:eastAsia="楷体_GB2312"/>
          <w:kern w:val="2"/>
          <w:sz w:val="32"/>
          <w:szCs w:val="32"/>
        </w:rPr>
      </w:pPr>
      <w:r>
        <w:rPr>
          <w:rFonts w:hint="eastAsia" w:ascii="楷体_GB2312" w:eastAsia="楷体_GB2312"/>
          <w:kern w:val="2"/>
          <w:sz w:val="32"/>
          <w:szCs w:val="32"/>
        </w:rPr>
        <w:t>（二）交易概况。</w:t>
      </w:r>
    </w:p>
    <w:p>
      <w:pPr>
        <w:pStyle w:val="7"/>
        <w:pageBreakBefore w:val="0"/>
        <w:kinsoku/>
        <w:wordWrap/>
        <w:topLinePunct w:val="0"/>
        <w:bidi w:val="0"/>
        <w:spacing w:line="594" w:lineRule="exact"/>
        <w:ind w:left="0" w:firstLine="640"/>
        <w:rPr>
          <w:rFonts w:hint="default" w:ascii="Times New Roman" w:hAnsi="Times New Roman" w:cs="Times New Roman"/>
          <w:sz w:val="24"/>
          <w:szCs w:val="24"/>
          <w:lang w:eastAsia="zh-CN"/>
        </w:rPr>
      </w:pPr>
      <w:r>
        <w:rPr>
          <w:rFonts w:hint="default" w:ascii="Times New Roman" w:hAnsi="Times New Roman" w:eastAsia="仿宋_GB2312" w:cs="Times New Roman"/>
          <w:bCs/>
          <w:sz w:val="32"/>
        </w:rPr>
        <w:t>本交易为股权收购。2018年8月13日</w:t>
      </w:r>
      <w:r>
        <w:rPr>
          <w:rFonts w:hint="default" w:ascii="Times New Roman" w:hAnsi="Times New Roman" w:cs="Times New Roman"/>
          <w:bCs/>
          <w:sz w:val="32"/>
          <w:lang w:eastAsia="zh-CN"/>
        </w:rPr>
        <w:t>，</w:t>
      </w:r>
      <w:r>
        <w:rPr>
          <w:rFonts w:hint="default" w:ascii="Times New Roman" w:hAnsi="Times New Roman" w:eastAsia="仿宋_GB2312" w:cs="Times New Roman"/>
          <w:bCs/>
          <w:sz w:val="32"/>
        </w:rPr>
        <w:t>阅文与</w:t>
      </w:r>
      <w:r>
        <w:rPr>
          <w:rFonts w:hint="eastAsia"/>
          <w:highlight w:val="none"/>
        </w:rPr>
        <w:t>曹华益</w:t>
      </w:r>
      <w:r>
        <w:rPr>
          <w:rFonts w:hint="default" w:ascii="Times New Roman" w:hAnsi="Times New Roman" w:cs="Times New Roman"/>
          <w:bCs/>
          <w:sz w:val="32"/>
          <w:lang w:eastAsia="zh-CN"/>
        </w:rPr>
        <w:t>等</w:t>
      </w:r>
      <w:r>
        <w:rPr>
          <w:rFonts w:hint="default" w:ascii="Times New Roman" w:hAnsi="Times New Roman" w:eastAsia="仿宋_GB2312" w:cs="Times New Roman"/>
          <w:bCs/>
          <w:sz w:val="32"/>
        </w:rPr>
        <w:t>签署购股协议，</w:t>
      </w:r>
      <w:r>
        <w:rPr>
          <w:rFonts w:hint="default" w:ascii="Times New Roman" w:hAnsi="Times New Roman" w:cs="Times New Roman"/>
          <w:bCs/>
          <w:sz w:val="32"/>
          <w:lang w:eastAsia="zh-CN"/>
        </w:rPr>
        <w:t>以</w:t>
      </w:r>
      <w:r>
        <w:rPr>
          <w:rFonts w:hint="default" w:ascii="Times New Roman" w:hAnsi="Times New Roman" w:cs="Times New Roman"/>
        </w:rPr>
        <w:t>51亿元的现金和</w:t>
      </w:r>
      <w:r>
        <w:rPr>
          <w:rFonts w:hint="default" w:ascii="Times New Roman" w:hAnsi="Times New Roman" w:cs="Times New Roman"/>
          <w:lang w:eastAsia="zh-CN"/>
        </w:rPr>
        <w:t>约</w:t>
      </w:r>
      <w:r>
        <w:rPr>
          <w:rFonts w:hint="default" w:ascii="Times New Roman" w:hAnsi="Times New Roman" w:cs="Times New Roman"/>
        </w:rPr>
        <w:t>104亿元的</w:t>
      </w:r>
      <w:r>
        <w:rPr>
          <w:rFonts w:hint="default" w:ascii="Times New Roman" w:hAnsi="Times New Roman" w:cs="Times New Roman"/>
          <w:lang w:eastAsia="zh-CN"/>
        </w:rPr>
        <w:t>阅文</w:t>
      </w:r>
      <w:r>
        <w:rPr>
          <w:rFonts w:hint="default" w:ascii="Times New Roman" w:hAnsi="Times New Roman" w:cs="Times New Roman"/>
        </w:rPr>
        <w:t>股票作为对价</w:t>
      </w:r>
      <w:r>
        <w:rPr>
          <w:rFonts w:hint="default" w:ascii="Times New Roman" w:hAnsi="Times New Roman" w:cs="Times New Roman"/>
          <w:lang w:eastAsia="zh-CN"/>
        </w:rPr>
        <w:t>，</w:t>
      </w:r>
      <w:r>
        <w:rPr>
          <w:rFonts w:hint="default" w:ascii="Times New Roman" w:hAnsi="Times New Roman" w:eastAsia="仿宋_GB2312" w:cs="Times New Roman"/>
          <w:bCs/>
          <w:sz w:val="32"/>
        </w:rPr>
        <w:t>收购新丽传媒100%股</w:t>
      </w:r>
      <w:r>
        <w:rPr>
          <w:rFonts w:hint="eastAsia" w:ascii="Times New Roman" w:hAnsi="Times New Roman" w:cs="Times New Roman"/>
          <w:bCs/>
          <w:sz w:val="32"/>
          <w:lang w:eastAsia="zh-CN"/>
        </w:rPr>
        <w:t>权</w:t>
      </w:r>
      <w:r>
        <w:rPr>
          <w:rFonts w:hint="default" w:ascii="Times New Roman" w:hAnsi="Times New Roman" w:eastAsia="仿宋_GB2312" w:cs="Times New Roman"/>
          <w:bCs/>
          <w:sz w:val="32"/>
        </w:rPr>
        <w:t>。2018年10月31日</w:t>
      </w:r>
      <w:r>
        <w:rPr>
          <w:rFonts w:hint="default" w:ascii="Times New Roman" w:hAnsi="Times New Roman" w:cs="Times New Roman"/>
          <w:bCs/>
          <w:sz w:val="32"/>
          <w:lang w:eastAsia="zh-CN"/>
        </w:rPr>
        <w:t>，</w:t>
      </w:r>
      <w:r>
        <w:rPr>
          <w:rFonts w:hint="default" w:ascii="Times New Roman" w:hAnsi="Times New Roman" w:eastAsia="仿宋_GB2312" w:cs="Times New Roman"/>
          <w:bCs/>
          <w:sz w:val="32"/>
        </w:rPr>
        <w:t>新丽传媒完成股权变更登记。</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二、违法事实及理由</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ascii="楷体_GB2312" w:eastAsia="楷体_GB2312"/>
          <w:kern w:val="2"/>
          <w:sz w:val="32"/>
          <w:szCs w:val="32"/>
        </w:rPr>
      </w:pPr>
      <w:r>
        <w:rPr>
          <w:rFonts w:hint="eastAsia" w:ascii="楷体_GB2312" w:eastAsia="楷体_GB2312"/>
          <w:kern w:val="2"/>
          <w:sz w:val="32"/>
          <w:szCs w:val="32"/>
        </w:rPr>
        <w:t>（一）本案构成未依法申报违法实施的经营者集中。</w:t>
      </w:r>
    </w:p>
    <w:p>
      <w:pPr>
        <w:keepNext w:val="0"/>
        <w:keepLines w:val="0"/>
        <w:pageBreakBefore w:val="0"/>
        <w:widowControl w:val="0"/>
        <w:kinsoku/>
        <w:wordWrap/>
        <w:topLinePunct w:val="0"/>
        <w:bidi w:val="0"/>
        <w:spacing w:line="594" w:lineRule="exact"/>
        <w:ind w:firstLine="616" w:firstLineChars="196"/>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sz w:val="32"/>
          <w:szCs w:val="32"/>
          <w:lang w:eastAsia="zh-CN"/>
        </w:rPr>
        <w:t>根据</w:t>
      </w:r>
      <w:r>
        <w:rPr>
          <w:rFonts w:hint="default" w:ascii="Times New Roman" w:hAnsi="Times New Roman" w:eastAsia="仿宋_GB2312" w:cs="Times New Roman"/>
          <w:sz w:val="32"/>
          <w:szCs w:val="32"/>
        </w:rPr>
        <w:t>《反垄断法》第二十条</w:t>
      </w:r>
      <w:r>
        <w:rPr>
          <w:rFonts w:hint="default" w:ascii="Times New Roman" w:hAnsi="Times New Roman" w:eastAsia="仿宋_GB2312" w:cs="Times New Roman"/>
          <w:sz w:val="32"/>
          <w:szCs w:val="32"/>
          <w:lang w:eastAsia="zh-CN"/>
        </w:rPr>
        <w:t>规定</w:t>
      </w:r>
      <w:r>
        <w:rPr>
          <w:rFonts w:hint="default" w:ascii="Times New Roman" w:hAnsi="Times New Roman" w:eastAsia="仿宋_GB2312" w:cs="Times New Roman"/>
          <w:sz w:val="32"/>
          <w:szCs w:val="32"/>
          <w:lang w:val="en-US" w:eastAsia="zh-CN"/>
        </w:rPr>
        <w:t>“经营者集中是指下列情形：（一）经营者合并；（二）经营者通过取得股权或者资产的方式取得对其他经营者的控制权；（三）经营者通过合同等方式取得对其他经营者的控制权或者能够对其他经营者施加决定性影响”。</w:t>
      </w:r>
      <w:r>
        <w:rPr>
          <w:rFonts w:hint="default" w:ascii="Times New Roman" w:hAnsi="Times New Roman" w:eastAsia="仿宋_GB2312" w:cs="Times New Roman"/>
          <w:bCs/>
          <w:sz w:val="32"/>
        </w:rPr>
        <w:t>阅文</w:t>
      </w:r>
      <w:r>
        <w:rPr>
          <w:rFonts w:hint="default" w:ascii="Times New Roman" w:hAnsi="Times New Roman" w:eastAsia="仿宋_GB2312" w:cs="Times New Roman"/>
          <w:bCs/>
          <w:sz w:val="32"/>
          <w:lang w:eastAsia="zh-CN"/>
        </w:rPr>
        <w:t>收购</w:t>
      </w:r>
      <w:r>
        <w:rPr>
          <w:rFonts w:hint="default" w:ascii="Times New Roman" w:hAnsi="Times New Roman" w:eastAsia="仿宋_GB2312" w:cs="Times New Roman"/>
          <w:bCs/>
          <w:sz w:val="32"/>
        </w:rPr>
        <w:t>新丽传媒100%股权</w:t>
      </w:r>
      <w:r>
        <w:rPr>
          <w:rFonts w:hint="default" w:ascii="Times New Roman" w:hAnsi="Times New Roman" w:eastAsia="仿宋_GB2312" w:cs="Times New Roman"/>
          <w:kern w:val="2"/>
          <w:sz w:val="32"/>
          <w:szCs w:val="32"/>
          <w:lang w:val="en-US" w:eastAsia="zh-CN" w:bidi="ar-SA"/>
        </w:rPr>
        <w:t>，</w:t>
      </w:r>
      <w:r>
        <w:rPr>
          <w:rFonts w:hint="default" w:ascii="Times New Roman" w:hAnsi="Times New Roman" w:eastAsia="仿宋_GB2312" w:cs="Times New Roman"/>
          <w:sz w:val="32"/>
          <w:szCs w:val="32"/>
        </w:rPr>
        <w:t>取得</w:t>
      </w:r>
      <w:r>
        <w:rPr>
          <w:rFonts w:hint="default" w:ascii="Times New Roman" w:hAnsi="Times New Roman" w:eastAsia="仿宋_GB2312" w:cs="Times New Roman"/>
          <w:sz w:val="32"/>
          <w:szCs w:val="32"/>
          <w:lang w:eastAsia="zh-CN"/>
        </w:rPr>
        <w:t>单独</w:t>
      </w:r>
      <w:r>
        <w:rPr>
          <w:rFonts w:hint="default" w:ascii="Times New Roman" w:hAnsi="Times New Roman" w:eastAsia="仿宋_GB2312" w:cs="Times New Roman"/>
          <w:sz w:val="32"/>
          <w:szCs w:val="32"/>
        </w:rPr>
        <w:t>控制权，</w:t>
      </w:r>
      <w:r>
        <w:rPr>
          <w:rFonts w:hint="default" w:ascii="Times New Roman" w:hAnsi="Times New Roman" w:eastAsia="仿宋_GB2312" w:cs="Times New Roman"/>
          <w:kern w:val="2"/>
          <w:sz w:val="32"/>
          <w:szCs w:val="32"/>
        </w:rPr>
        <w:t>属于《反垄断法》第</w:t>
      </w:r>
      <w:r>
        <w:rPr>
          <w:rFonts w:hint="eastAsia" w:ascii="Times New Roman" w:hAnsi="Times New Roman" w:eastAsia="仿宋_GB2312" w:cs="Times New Roman"/>
          <w:kern w:val="2"/>
          <w:sz w:val="32"/>
          <w:szCs w:val="32"/>
          <w:lang w:eastAsia="zh-CN"/>
        </w:rPr>
        <w:t>二十</w:t>
      </w:r>
      <w:r>
        <w:rPr>
          <w:rFonts w:hint="default" w:ascii="Times New Roman" w:hAnsi="Times New Roman" w:eastAsia="仿宋_GB2312" w:cs="Times New Roman"/>
          <w:kern w:val="2"/>
          <w:sz w:val="32"/>
          <w:szCs w:val="32"/>
        </w:rPr>
        <w:t>条规定的经营者集中。</w:t>
      </w:r>
    </w:p>
    <w:p>
      <w:pPr>
        <w:keepNext w:val="0"/>
        <w:keepLines w:val="0"/>
        <w:pageBreakBefore w:val="0"/>
        <w:widowControl w:val="0"/>
        <w:kinsoku/>
        <w:wordWrap/>
        <w:topLinePunct w:val="0"/>
        <w:bidi w:val="0"/>
        <w:spacing w:line="594" w:lineRule="exact"/>
        <w:ind w:firstLine="616" w:firstLineChars="196"/>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highlight w:val="none"/>
        </w:rPr>
        <w:t>阅文2017年度全球营业额为</w:t>
      </w:r>
      <w:r>
        <w:rPr>
          <w:rFonts w:hint="eastAsia" w:eastAsia="仿宋_GB2312" w:cs="Times New Roman"/>
          <w:kern w:val="2"/>
          <w:sz w:val="32"/>
          <w:szCs w:val="32"/>
          <w:highlight w:val="none"/>
          <w:lang w:eastAsia="zh-CN"/>
        </w:rPr>
        <w:t>（略）</w:t>
      </w:r>
      <w:r>
        <w:rPr>
          <w:rFonts w:hint="default" w:ascii="Times New Roman" w:hAnsi="Times New Roman" w:eastAsia="仿宋_GB2312" w:cs="Times New Roman"/>
          <w:kern w:val="2"/>
          <w:sz w:val="32"/>
          <w:szCs w:val="32"/>
          <w:highlight w:val="none"/>
        </w:rPr>
        <w:t>，中国境内营业额为</w:t>
      </w:r>
      <w:r>
        <w:rPr>
          <w:rFonts w:hint="eastAsia" w:eastAsia="仿宋_GB2312" w:cs="Times New Roman"/>
          <w:kern w:val="2"/>
          <w:sz w:val="32"/>
          <w:szCs w:val="32"/>
          <w:highlight w:val="none"/>
          <w:lang w:eastAsia="zh-CN"/>
        </w:rPr>
        <w:t>（略）</w:t>
      </w:r>
      <w:r>
        <w:rPr>
          <w:rFonts w:hint="default" w:ascii="Times New Roman" w:hAnsi="Times New Roman" w:eastAsia="仿宋_GB2312" w:cs="Times New Roman"/>
          <w:kern w:val="2"/>
          <w:sz w:val="32"/>
          <w:szCs w:val="32"/>
          <w:highlight w:val="none"/>
        </w:rPr>
        <w:t>；</w:t>
      </w:r>
      <w:r>
        <w:rPr>
          <w:rFonts w:hint="default" w:ascii="Times New Roman" w:hAnsi="Times New Roman" w:eastAsia="仿宋_GB2312" w:cs="Times New Roman"/>
          <w:kern w:val="2"/>
          <w:sz w:val="32"/>
          <w:szCs w:val="32"/>
        </w:rPr>
        <w:t>新丽传媒2017年度全球营业额为</w:t>
      </w:r>
      <w:r>
        <w:rPr>
          <w:rFonts w:hint="eastAsia" w:eastAsia="仿宋_GB2312" w:cs="Times New Roman"/>
          <w:kern w:val="2"/>
          <w:sz w:val="32"/>
          <w:szCs w:val="32"/>
          <w:highlight w:val="none"/>
          <w:lang w:eastAsia="zh-CN"/>
        </w:rPr>
        <w:t>（略）</w:t>
      </w:r>
      <w:r>
        <w:rPr>
          <w:rFonts w:hint="default" w:ascii="Times New Roman" w:hAnsi="Times New Roman" w:eastAsia="仿宋_GB2312" w:cs="Times New Roman"/>
          <w:kern w:val="2"/>
          <w:sz w:val="32"/>
          <w:szCs w:val="32"/>
        </w:rPr>
        <w:t>，中国境内营业额为</w:t>
      </w:r>
      <w:r>
        <w:rPr>
          <w:rFonts w:hint="eastAsia" w:eastAsia="仿宋_GB2312" w:cs="Times New Roman"/>
          <w:kern w:val="2"/>
          <w:sz w:val="32"/>
          <w:szCs w:val="32"/>
          <w:highlight w:val="none"/>
          <w:lang w:eastAsia="zh-CN"/>
        </w:rPr>
        <w:t>（略）</w:t>
      </w:r>
      <w:r>
        <w:rPr>
          <w:rFonts w:hint="default" w:ascii="Times New Roman" w:hAnsi="Times New Roman" w:eastAsia="仿宋_GB2312" w:cs="Times New Roman"/>
          <w:kern w:val="2"/>
          <w:sz w:val="32"/>
          <w:szCs w:val="32"/>
        </w:rPr>
        <w:t>，达到《国务院关于经营者集中申报标准的规定》第</w:t>
      </w:r>
      <w:r>
        <w:rPr>
          <w:rFonts w:hint="eastAsia" w:ascii="Times New Roman" w:hAnsi="Times New Roman" w:eastAsia="仿宋_GB2312" w:cs="Times New Roman"/>
          <w:kern w:val="2"/>
          <w:sz w:val="32"/>
          <w:szCs w:val="32"/>
          <w:lang w:val="en-US" w:eastAsia="zh-CN"/>
        </w:rPr>
        <w:t>三</w:t>
      </w:r>
      <w:r>
        <w:rPr>
          <w:rFonts w:hint="default" w:ascii="Times New Roman" w:hAnsi="Times New Roman" w:eastAsia="仿宋_GB2312" w:cs="Times New Roman"/>
          <w:kern w:val="2"/>
          <w:sz w:val="32"/>
          <w:szCs w:val="32"/>
        </w:rPr>
        <w:t>条规定的申报标准，属于应当申报的情形。</w:t>
      </w:r>
    </w:p>
    <w:p>
      <w:pPr>
        <w:keepNext w:val="0"/>
        <w:keepLines w:val="0"/>
        <w:pageBreakBefore w:val="0"/>
        <w:widowControl w:val="0"/>
        <w:kinsoku/>
        <w:wordWrap/>
        <w:topLinePunct w:val="0"/>
        <w:bidi w:val="0"/>
        <w:spacing w:line="594" w:lineRule="exact"/>
        <w:ind w:firstLine="616" w:firstLineChars="196"/>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sz w:val="32"/>
          <w:szCs w:val="32"/>
          <w:lang w:eastAsia="zh-CN"/>
        </w:rPr>
        <w:t>根据</w:t>
      </w:r>
      <w:r>
        <w:rPr>
          <w:rFonts w:hint="default" w:ascii="Times New Roman" w:hAnsi="Times New Roman" w:eastAsia="仿宋_GB2312" w:cs="Times New Roman"/>
          <w:sz w:val="32"/>
          <w:szCs w:val="32"/>
        </w:rPr>
        <w:t>《反垄断法》第二十一条</w:t>
      </w:r>
      <w:r>
        <w:rPr>
          <w:rFonts w:hint="default" w:ascii="Times New Roman" w:hAnsi="Times New Roman" w:eastAsia="仿宋_GB2312" w:cs="Times New Roman"/>
          <w:sz w:val="32"/>
          <w:szCs w:val="32"/>
          <w:lang w:eastAsia="zh-CN"/>
        </w:rPr>
        <w:t>规定“经营者集中达到国务院规定的申报标准的，经营者应当事先向国务院反垄断执法机构申报，未申报的不得实施集中”。</w:t>
      </w:r>
      <w:r>
        <w:rPr>
          <w:rFonts w:hint="default" w:ascii="Times New Roman" w:hAnsi="Times New Roman" w:eastAsia="仿宋_GB2312" w:cs="Times New Roman"/>
          <w:kern w:val="2"/>
          <w:sz w:val="32"/>
          <w:szCs w:val="32"/>
        </w:rPr>
        <w:t>2018年10月31日，</w:t>
      </w:r>
      <w:r>
        <w:rPr>
          <w:rFonts w:hint="default" w:ascii="Times New Roman" w:hAnsi="Times New Roman" w:eastAsia="仿宋_GB2312" w:cs="Times New Roman"/>
          <w:bCs/>
          <w:sz w:val="32"/>
        </w:rPr>
        <w:t>新丽传媒</w:t>
      </w:r>
      <w:r>
        <w:rPr>
          <w:rFonts w:hint="default" w:ascii="Times New Roman" w:hAnsi="Times New Roman" w:eastAsia="仿宋_GB2312" w:cs="Times New Roman"/>
          <w:kern w:val="2"/>
          <w:sz w:val="32"/>
          <w:szCs w:val="32"/>
        </w:rPr>
        <w:t>完成股权变更登记，在此之前未向我局申报，违反《反垄断法》第</w:t>
      </w:r>
      <w:r>
        <w:rPr>
          <w:rFonts w:hint="eastAsia" w:ascii="Times New Roman" w:hAnsi="Times New Roman" w:eastAsia="仿宋_GB2312" w:cs="Times New Roman"/>
          <w:kern w:val="2"/>
          <w:sz w:val="32"/>
          <w:szCs w:val="32"/>
          <w:lang w:val="en-US" w:eastAsia="zh-CN"/>
        </w:rPr>
        <w:t>二十一</w:t>
      </w:r>
      <w:r>
        <w:rPr>
          <w:rFonts w:hint="default" w:ascii="Times New Roman" w:hAnsi="Times New Roman" w:eastAsia="仿宋_GB2312" w:cs="Times New Roman"/>
          <w:kern w:val="2"/>
          <w:sz w:val="32"/>
          <w:szCs w:val="32"/>
        </w:rPr>
        <w:t>条，构成未依法申报</w:t>
      </w:r>
      <w:r>
        <w:rPr>
          <w:rFonts w:hint="eastAsia" w:ascii="Times New Roman" w:hAnsi="Times New Roman" w:eastAsia="仿宋_GB2312" w:cs="Times New Roman"/>
          <w:kern w:val="2"/>
          <w:sz w:val="32"/>
          <w:szCs w:val="32"/>
          <w:lang w:eastAsia="zh-CN"/>
        </w:rPr>
        <w:t>违法实施</w:t>
      </w:r>
      <w:r>
        <w:rPr>
          <w:rFonts w:hint="default" w:ascii="Times New Roman" w:hAnsi="Times New Roman" w:eastAsia="仿宋_GB2312" w:cs="Times New Roman"/>
          <w:kern w:val="2"/>
          <w:sz w:val="32"/>
          <w:szCs w:val="32"/>
        </w:rPr>
        <w:t>的经营者集中。</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ascii="楷体_GB2312" w:eastAsia="楷体_GB2312"/>
          <w:kern w:val="2"/>
          <w:sz w:val="32"/>
          <w:szCs w:val="32"/>
        </w:rPr>
      </w:pPr>
      <w:r>
        <w:rPr>
          <w:rFonts w:hint="eastAsia" w:ascii="楷体_GB2312" w:eastAsia="楷体_GB2312"/>
          <w:kern w:val="2"/>
          <w:sz w:val="32"/>
          <w:szCs w:val="32"/>
        </w:rPr>
        <w:t>（二）本案不具有排除、限制竞争的效果。</w:t>
      </w:r>
    </w:p>
    <w:p>
      <w:pPr>
        <w:keepNext w:val="0"/>
        <w:keepLines w:val="0"/>
        <w:pageBreakBefore w:val="0"/>
        <w:widowControl w:val="0"/>
        <w:kinsoku/>
        <w:wordWrap/>
        <w:topLinePunct w:val="0"/>
        <w:bidi w:val="0"/>
        <w:spacing w:line="594" w:lineRule="exact"/>
        <w:ind w:firstLine="628" w:firstLineChars="200"/>
        <w:textAlignment w:val="auto"/>
        <w:outlineLvl w:val="0"/>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本机关就</w:t>
      </w:r>
      <w:r>
        <w:rPr>
          <w:rFonts w:hint="eastAsia" w:eastAsia="仿宋_GB2312" w:cs="Times New Roman"/>
          <w:sz w:val="32"/>
          <w:szCs w:val="32"/>
          <w:lang w:eastAsia="zh-CN"/>
        </w:rPr>
        <w:t>阅文</w:t>
      </w:r>
      <w:r>
        <w:rPr>
          <w:rFonts w:hint="default" w:ascii="Times New Roman" w:hAnsi="Times New Roman" w:eastAsia="仿宋_GB2312" w:cs="Times New Roman"/>
          <w:sz w:val="32"/>
          <w:szCs w:val="32"/>
        </w:rPr>
        <w:t>收购</w:t>
      </w:r>
      <w:r>
        <w:rPr>
          <w:rFonts w:hint="default" w:ascii="Times New Roman" w:hAnsi="Times New Roman" w:eastAsia="仿宋_GB2312" w:cs="Times New Roman"/>
          <w:sz w:val="32"/>
          <w:lang w:eastAsia="zh-CN"/>
        </w:rPr>
        <w:t>新丽传媒</w:t>
      </w:r>
      <w:r>
        <w:rPr>
          <w:rFonts w:hint="default" w:ascii="Times New Roman" w:hAnsi="Times New Roman" w:eastAsia="仿宋_GB2312" w:cs="Times New Roman"/>
          <w:sz w:val="32"/>
          <w:szCs w:val="32"/>
        </w:rPr>
        <w:t>股权</w:t>
      </w:r>
      <w:r>
        <w:rPr>
          <w:rFonts w:hint="default" w:ascii="Times New Roman" w:hAnsi="Times New Roman" w:eastAsia="仿宋_GB2312" w:cs="Times New Roman"/>
          <w:kern w:val="2"/>
          <w:sz w:val="32"/>
          <w:szCs w:val="32"/>
        </w:rPr>
        <w:t>对市场竞争的影响进行了评估，评估认为，该项经营者集中不会产生排除、限制竞争的效果。</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三、行政处罚依据和决定</w:t>
      </w:r>
    </w:p>
    <w:p>
      <w:pPr>
        <w:keepNext w:val="0"/>
        <w:keepLines w:val="0"/>
        <w:pageBreakBefore w:val="0"/>
        <w:widowControl w:val="0"/>
        <w:kinsoku/>
        <w:wordWrap/>
        <w:topLinePunct w:val="0"/>
        <w:bidi w:val="0"/>
        <w:spacing w:line="594" w:lineRule="exact"/>
        <w:ind w:firstLine="616" w:firstLineChars="196"/>
        <w:textAlignment w:val="auto"/>
        <w:rPr>
          <w:rFonts w:hint="default" w:ascii="Times New Roman" w:hAnsi="Times New Roman" w:eastAsia="仿宋_GB2312" w:cs="Times New Roman"/>
          <w:bCs/>
          <w:color w:val="000000"/>
          <w:kern w:val="2"/>
          <w:sz w:val="32"/>
          <w:szCs w:val="32"/>
          <w:lang w:eastAsia="zh-CN"/>
        </w:rPr>
      </w:pPr>
      <w:r>
        <w:rPr>
          <w:rFonts w:hint="default" w:ascii="Times New Roman" w:hAnsi="Times New Roman" w:eastAsia="仿宋_GB2312" w:cs="Times New Roman"/>
          <w:bCs/>
          <w:color w:val="000000"/>
          <w:kern w:val="2"/>
          <w:sz w:val="32"/>
          <w:szCs w:val="32"/>
        </w:rPr>
        <w:t>《反垄断法》第四十八条</w:t>
      </w:r>
      <w:r>
        <w:rPr>
          <w:rFonts w:hint="default" w:ascii="Times New Roman" w:hAnsi="Times New Roman" w:eastAsia="仿宋_GB2312" w:cs="Times New Roman"/>
          <w:bCs/>
          <w:color w:val="000000"/>
          <w:kern w:val="2"/>
          <w:sz w:val="32"/>
          <w:szCs w:val="32"/>
          <w:lang w:eastAsia="zh-CN"/>
        </w:rPr>
        <w:t>规定“经营者违反本法规定实施集中的，由国务院反垄断执法机构责令停止实施集中、限期处分股份或者资产、限期转让营业以及采取其他必要措施恢复到集中前的状态，可以处五十万元以下的罚款”。</w:t>
      </w:r>
      <w:r>
        <w:rPr>
          <w:rFonts w:hint="default" w:ascii="Times New Roman" w:hAnsi="Times New Roman" w:eastAsia="仿宋_GB2312" w:cs="Times New Roman"/>
          <w:bCs/>
          <w:color w:val="000000"/>
          <w:kern w:val="2"/>
          <w:sz w:val="32"/>
          <w:szCs w:val="32"/>
        </w:rPr>
        <w:t>《反垄断法》第四十九条</w:t>
      </w:r>
      <w:r>
        <w:rPr>
          <w:rFonts w:hint="default" w:ascii="Times New Roman" w:hAnsi="Times New Roman" w:eastAsia="仿宋_GB2312" w:cs="Times New Roman"/>
          <w:bCs/>
          <w:color w:val="000000"/>
          <w:kern w:val="2"/>
          <w:sz w:val="32"/>
          <w:szCs w:val="32"/>
          <w:lang w:eastAsia="zh-CN"/>
        </w:rPr>
        <w:t>规定“对本法第四十六条、第四十七条、第四十八条规定的罚款，反垄断执法机构确定具体罚款数额时，应当考虑违法行为的性质、程度和持续的时间等因素”。</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仿宋_GB2312" w:cs="Times New Roman"/>
          <w:bCs/>
          <w:color w:val="000000"/>
          <w:kern w:val="2"/>
          <w:sz w:val="32"/>
          <w:szCs w:val="32"/>
        </w:rPr>
      </w:pPr>
      <w:r>
        <w:rPr>
          <w:rFonts w:hint="default" w:ascii="Times New Roman" w:hAnsi="Times New Roman" w:eastAsia="仿宋_GB2312" w:cs="Times New Roman"/>
          <w:bCs/>
          <w:color w:val="000000"/>
          <w:kern w:val="2"/>
          <w:sz w:val="32"/>
          <w:szCs w:val="32"/>
        </w:rPr>
        <w:t>根据</w:t>
      </w:r>
      <w:r>
        <w:rPr>
          <w:rFonts w:hint="default" w:ascii="Times New Roman" w:hAnsi="Times New Roman" w:eastAsia="仿宋_GB2312" w:cs="Times New Roman"/>
          <w:bCs/>
          <w:color w:val="000000"/>
          <w:kern w:val="2"/>
          <w:sz w:val="32"/>
          <w:szCs w:val="32"/>
          <w:lang w:eastAsia="zh-CN"/>
        </w:rPr>
        <w:t>上述规定，</w:t>
      </w:r>
      <w:r>
        <w:rPr>
          <w:rFonts w:hint="default" w:ascii="Times New Roman" w:hAnsi="Times New Roman" w:eastAsia="仿宋_GB2312" w:cs="Times New Roman"/>
          <w:bCs/>
          <w:color w:val="000000"/>
          <w:kern w:val="2"/>
          <w:sz w:val="32"/>
          <w:szCs w:val="32"/>
        </w:rPr>
        <w:t>基于调查情况和评估结论，本机关</w:t>
      </w:r>
      <w:r>
        <w:rPr>
          <w:rFonts w:hint="eastAsia" w:ascii="Times New Roman" w:hAnsi="Times New Roman" w:eastAsia="仿宋_GB2312" w:cs="Times New Roman"/>
          <w:bCs/>
          <w:color w:val="000000"/>
          <w:kern w:val="2"/>
          <w:sz w:val="32"/>
          <w:szCs w:val="32"/>
          <w:lang w:eastAsia="zh-CN"/>
        </w:rPr>
        <w:t>给予</w:t>
      </w:r>
      <w:r>
        <w:rPr>
          <w:rFonts w:hint="eastAsia" w:eastAsia="仿宋_GB2312" w:cs="Times New Roman"/>
          <w:bCs/>
          <w:color w:val="000000"/>
          <w:kern w:val="2"/>
          <w:sz w:val="32"/>
          <w:szCs w:val="32"/>
          <w:lang w:eastAsia="zh-CN"/>
        </w:rPr>
        <w:t>阅文</w:t>
      </w:r>
      <w:r>
        <w:rPr>
          <w:rFonts w:hint="eastAsia" w:ascii="Times New Roman" w:hAnsi="Times New Roman" w:eastAsia="仿宋_GB2312" w:cs="Times New Roman"/>
          <w:bCs/>
          <w:color w:val="000000"/>
          <w:kern w:val="2"/>
          <w:sz w:val="32"/>
          <w:szCs w:val="32"/>
          <w:lang w:val="en-US" w:eastAsia="zh-CN"/>
        </w:rPr>
        <w:t>5</w:t>
      </w:r>
      <w:r>
        <w:rPr>
          <w:rFonts w:hint="default" w:ascii="Times New Roman" w:hAnsi="Times New Roman" w:eastAsia="仿宋_GB2312" w:cs="Times New Roman"/>
          <w:bCs/>
          <w:color w:val="000000"/>
          <w:kern w:val="2"/>
          <w:sz w:val="32"/>
          <w:szCs w:val="32"/>
        </w:rPr>
        <w:t>0万元人民币</w:t>
      </w:r>
      <w:r>
        <w:rPr>
          <w:rFonts w:hint="eastAsia" w:ascii="Times New Roman" w:hAnsi="Times New Roman" w:eastAsia="仿宋_GB2312" w:cs="Times New Roman"/>
          <w:bCs/>
          <w:color w:val="000000"/>
          <w:kern w:val="2"/>
          <w:sz w:val="32"/>
          <w:szCs w:val="32"/>
          <w:lang w:eastAsia="zh-CN"/>
        </w:rPr>
        <w:t>罚款</w:t>
      </w:r>
      <w:r>
        <w:rPr>
          <w:rFonts w:hint="default" w:ascii="Times New Roman" w:hAnsi="Times New Roman" w:eastAsia="仿宋_GB2312" w:cs="Times New Roman"/>
          <w:bCs/>
          <w:color w:val="000000"/>
          <w:kern w:val="2"/>
          <w:sz w:val="32"/>
          <w:szCs w:val="32"/>
        </w:rPr>
        <w:t>的行政处罚。</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eastAsia="仿宋_GB2312"/>
          <w:kern w:val="2"/>
          <w:sz w:val="32"/>
          <w:szCs w:val="32"/>
          <w:lang w:eastAsia="zh-CN"/>
        </w:rPr>
      </w:pPr>
      <w:r>
        <w:rPr>
          <w:rFonts w:hint="eastAsia" w:eastAsia="仿宋_GB2312"/>
          <w:kern w:val="2"/>
          <w:sz w:val="32"/>
          <w:szCs w:val="32"/>
        </w:rPr>
        <w:t>《行政处罚法》第四十六条规定</w:t>
      </w:r>
      <w:r>
        <w:rPr>
          <w:rFonts w:hint="eastAsia" w:eastAsia="仿宋_GB2312"/>
          <w:kern w:val="2"/>
          <w:sz w:val="32"/>
          <w:szCs w:val="32"/>
          <w:lang w:eastAsia="zh-CN"/>
        </w:rPr>
        <w:t>“作出罚款决定的行政机关应当与收缴罚款的机构分离。除依照本法第四十七条、第四十八条的规定当场收缴的罚款外，作出行政处罚决定的行政机关及其执法人员不得自行收缴罚款。当事人应当自收到行政处罚决定书之日起十五日内，到指定的银行缴纳罚款。银行应当收受罚款，并将罚款直接上缴国库”。</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eastAsia="仿宋_GB2312"/>
          <w:kern w:val="2"/>
          <w:sz w:val="32"/>
          <w:szCs w:val="32"/>
        </w:rPr>
      </w:pPr>
      <w:r>
        <w:rPr>
          <w:rFonts w:hint="eastAsia" w:eastAsia="仿宋_GB2312"/>
          <w:kern w:val="2"/>
          <w:sz w:val="32"/>
          <w:szCs w:val="32"/>
        </w:rPr>
        <w:t>当事方应当自收到本行政处罚决定书之日起十五日内，根据本行政处罚决定书，携缴款码到12家中央财政非税收入收缴代理银行（工、农、中、建、交、中信、光大、招商、邮储、华夏、平安、兴业）任一银行网点或者网上银行交纳罚款。缴款码：</w:t>
      </w:r>
      <w:r>
        <w:rPr>
          <w:rFonts w:hint="eastAsia" w:eastAsia="仿宋_GB2312"/>
          <w:kern w:val="2"/>
          <w:sz w:val="32"/>
          <w:szCs w:val="32"/>
          <w:lang w:val="en-US" w:eastAsia="zh-CN"/>
        </w:rPr>
        <w:t>0000002000041865</w:t>
      </w:r>
      <w:r>
        <w:rPr>
          <w:rFonts w:hint="eastAsia" w:eastAsia="仿宋_GB2312"/>
          <w:kern w:val="2"/>
          <w:sz w:val="32"/>
          <w:szCs w:val="32"/>
        </w:rPr>
        <w:t>。</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eastAsia="仿宋_GB2312"/>
          <w:kern w:val="2"/>
          <w:sz w:val="32"/>
          <w:szCs w:val="32"/>
        </w:rPr>
      </w:pPr>
      <w:r>
        <w:rPr>
          <w:rFonts w:hint="eastAsia" w:eastAsia="仿宋_GB2312"/>
          <w:kern w:val="2"/>
          <w:sz w:val="32"/>
          <w:szCs w:val="32"/>
        </w:rPr>
        <w:t xml:space="preserve">当事方如对上述行政处罚决定不服，可以自收到本行政处罚决定书之日起六十日内，向国家市场监督管理总局申请行政复议；或者自收到本行政处罚决定书之日起六个月内，依法向人民法院提起行政诉讼。行政复议或者行政诉讼期间，本行政处罚决定不停止执行。 </w:t>
      </w:r>
    </w:p>
    <w:p>
      <w:pPr>
        <w:keepNext w:val="0"/>
        <w:keepLines w:val="0"/>
        <w:pageBreakBefore w:val="0"/>
        <w:widowControl w:val="0"/>
        <w:kinsoku/>
        <w:wordWrap/>
        <w:topLinePunct w:val="0"/>
        <w:bidi w:val="0"/>
        <w:snapToGrid w:val="0"/>
        <w:spacing w:line="594" w:lineRule="exact"/>
        <w:ind w:firstLine="5433" w:firstLineChars="1730"/>
        <w:textAlignment w:val="auto"/>
        <w:rPr>
          <w:rFonts w:hint="eastAsia" w:eastAsia="仿宋_GB2312"/>
          <w:kern w:val="2"/>
          <w:sz w:val="32"/>
          <w:szCs w:val="32"/>
        </w:rPr>
      </w:pPr>
      <w:r>
        <w:rPr>
          <w:rFonts w:hint="eastAsia" w:eastAsia="仿宋_GB2312"/>
          <w:kern w:val="2"/>
          <w:sz w:val="32"/>
          <w:szCs w:val="32"/>
        </w:rPr>
        <w:t>市场监管总局</w:t>
      </w:r>
    </w:p>
    <w:p>
      <w:pPr>
        <w:keepNext w:val="0"/>
        <w:keepLines w:val="0"/>
        <w:pageBreakBefore w:val="0"/>
        <w:widowControl w:val="0"/>
        <w:kinsoku/>
        <w:wordWrap/>
        <w:topLinePunct w:val="0"/>
        <w:bidi w:val="0"/>
        <w:snapToGrid w:val="0"/>
        <w:spacing w:line="594" w:lineRule="exact"/>
        <w:ind w:firstLine="5225" w:firstLineChars="1664"/>
        <w:textAlignment w:val="auto"/>
        <w:rPr>
          <w:rFonts w:eastAsia="仿宋_GB2312"/>
          <w:kern w:val="2"/>
          <w:sz w:val="32"/>
          <w:szCs w:val="32"/>
        </w:rPr>
      </w:pPr>
      <w:r>
        <w:rPr>
          <w:rFonts w:hint="eastAsia" w:eastAsia="仿宋_GB2312"/>
          <w:kern w:val="2"/>
          <w:sz w:val="32"/>
          <w:szCs w:val="32"/>
        </w:rPr>
        <w:t>2020年</w:t>
      </w:r>
      <w:r>
        <w:rPr>
          <w:rFonts w:hint="eastAsia" w:eastAsia="仿宋_GB2312"/>
          <w:kern w:val="2"/>
          <w:sz w:val="32"/>
          <w:szCs w:val="32"/>
          <w:lang w:val="en-US" w:eastAsia="zh-CN"/>
        </w:rPr>
        <w:t>12</w:t>
      </w:r>
      <w:r>
        <w:rPr>
          <w:rFonts w:hint="eastAsia" w:eastAsia="仿宋_GB2312"/>
          <w:kern w:val="2"/>
          <w:sz w:val="32"/>
          <w:szCs w:val="32"/>
        </w:rPr>
        <w:t>月</w:t>
      </w:r>
      <w:r>
        <w:rPr>
          <w:rFonts w:hint="eastAsia" w:eastAsia="仿宋_GB2312"/>
          <w:kern w:val="2"/>
          <w:sz w:val="32"/>
          <w:szCs w:val="32"/>
          <w:lang w:val="en-US" w:eastAsia="zh-CN"/>
        </w:rPr>
        <w:t>14</w:t>
      </w:r>
      <w:r>
        <w:rPr>
          <w:rFonts w:hint="eastAsia" w:eastAsia="仿宋_GB2312"/>
          <w:kern w:val="2"/>
          <w:sz w:val="32"/>
          <w:szCs w:val="32"/>
        </w:rPr>
        <w:t>日</w:t>
      </w:r>
    </w:p>
    <w:p>
      <w:pPr>
        <w:keepNext w:val="0"/>
        <w:keepLines w:val="0"/>
        <w:pageBreakBefore w:val="0"/>
        <w:widowControl w:val="0"/>
        <w:kinsoku/>
        <w:wordWrap/>
        <w:topLinePunct w:val="0"/>
        <w:bidi w:val="0"/>
        <w:spacing w:line="594" w:lineRule="exact"/>
        <w:ind w:firstLine="628" w:firstLineChars="200"/>
        <w:textAlignment w:val="auto"/>
      </w:pPr>
      <w:r>
        <w:rPr>
          <w:rFonts w:hint="eastAsia" w:eastAsia="仿宋_GB2312"/>
          <w:kern w:val="2"/>
          <w:sz w:val="32"/>
          <w:szCs w:val="32"/>
        </w:rPr>
        <w:t>（此件公开发布）</w:t>
      </w:r>
    </w:p>
    <w:sectPr>
      <w:footerReference r:id="rId3" w:type="default"/>
      <w:footerReference r:id="rId4" w:type="even"/>
      <w:pgSz w:w="11906" w:h="16838"/>
      <w:pgMar w:top="2098" w:right="1474" w:bottom="1985" w:left="1474" w:header="851" w:footer="1814" w:gutter="0"/>
      <w:cols w:space="720" w:num="1"/>
      <w:docGrid w:type="linesAndChars" w:linePitch="289" w:charSpace="-1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2"/>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outside" w:y="1"/>
      <w:ind w:left="315" w:leftChars="150" w:right="315" w:rightChars="150"/>
      <w:rPr>
        <w:rStyle w:val="5"/>
        <w:rFonts w:hint="eastAsia" w:ascii="宋体" w:hAnsi="宋体"/>
        <w:sz w:val="28"/>
        <w:szCs w:val="28"/>
      </w:rPr>
    </w:pPr>
    <w:r>
      <w:rPr>
        <w:rStyle w:val="5"/>
        <w:rFonts w:hint="eastAsia" w:ascii="宋体" w:hAnsi="宋体"/>
        <w:sz w:val="28"/>
        <w:szCs w:val="28"/>
      </w:rPr>
      <w:t xml:space="preserve">— </w:t>
    </w:r>
    <w:r>
      <w:rPr>
        <w:rStyle w:val="5"/>
        <w:rFonts w:ascii="宋体" w:hAnsi="宋体"/>
        <w:sz w:val="28"/>
        <w:szCs w:val="28"/>
      </w:rPr>
      <w:fldChar w:fldCharType="begin"/>
    </w:r>
    <w:r>
      <w:rPr>
        <w:rStyle w:val="5"/>
        <w:rFonts w:ascii="宋体" w:hAnsi="宋体"/>
        <w:sz w:val="28"/>
        <w:szCs w:val="28"/>
      </w:rPr>
      <w:instrText xml:space="preserve">PAGE  </w:instrText>
    </w:r>
    <w:r>
      <w:rPr>
        <w:rStyle w:val="5"/>
        <w:rFonts w:ascii="宋体" w:hAnsi="宋体"/>
        <w:sz w:val="28"/>
        <w:szCs w:val="28"/>
      </w:rPr>
      <w:fldChar w:fldCharType="separate"/>
    </w:r>
    <w:r>
      <w:rPr>
        <w:rStyle w:val="5"/>
        <w:rFonts w:ascii="宋体" w:hAnsi="宋体"/>
        <w:sz w:val="28"/>
        <w:szCs w:val="28"/>
      </w:rPr>
      <w:t>1</w:t>
    </w:r>
    <w:r>
      <w:rPr>
        <w:rStyle w:val="5"/>
        <w:rFonts w:ascii="宋体" w:hAnsi="宋体"/>
        <w:sz w:val="28"/>
        <w:szCs w:val="28"/>
      </w:rPr>
      <w:fldChar w:fldCharType="end"/>
    </w:r>
    <w:r>
      <w:rPr>
        <w:rStyle w:val="5"/>
        <w:rFonts w:hint="eastAsia" w:ascii="宋体" w:hAnsi="宋体"/>
        <w:sz w:val="28"/>
        <w:szCs w:val="28"/>
      </w:rPr>
      <w:t xml:space="preserve"> —</w:t>
    </w:r>
  </w:p>
  <w:p>
    <w:pPr>
      <w:pStyle w:val="3"/>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outside" w:y="1"/>
      <w:rPr>
        <w:rStyle w:val="5"/>
      </w:rPr>
    </w:pPr>
    <w:r>
      <w:rPr>
        <w:rStyle w:val="5"/>
      </w:rPr>
      <w:fldChar w:fldCharType="begin"/>
    </w:r>
    <w:r>
      <w:rPr>
        <w:rStyle w:val="5"/>
      </w:rPr>
      <w:instrText xml:space="preserve">PAGE  </w:instrText>
    </w:r>
    <w:r>
      <w:rPr>
        <w:rStyle w:val="5"/>
      </w:rPr>
      <w:fldChar w:fldCharType="end"/>
    </w:r>
  </w:p>
  <w:p>
    <w:pPr>
      <w:pStyle w:val="3"/>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3570B1"/>
    <w:rsid w:val="075F674C"/>
    <w:rsid w:val="16657401"/>
    <w:rsid w:val="1A156921"/>
    <w:rsid w:val="1C253C51"/>
    <w:rsid w:val="1D3570B1"/>
    <w:rsid w:val="265326DA"/>
    <w:rsid w:val="28C8606C"/>
    <w:rsid w:val="38043EF0"/>
    <w:rsid w:val="39FF2087"/>
    <w:rsid w:val="4ABC40B8"/>
    <w:rsid w:val="4EF957B9"/>
    <w:rsid w:val="4EFD73AF"/>
    <w:rsid w:val="53731302"/>
    <w:rsid w:val="646E1C32"/>
    <w:rsid w:val="6BB27B82"/>
    <w:rsid w:val="79172D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paragraph" w:styleId="2">
    <w:name w:val="Body Text"/>
    <w:basedOn w:val="1"/>
    <w:unhideWhenUsed/>
    <w:qFormat/>
    <w:uiPriority w:val="0"/>
    <w:pPr>
      <w:spacing w:after="120"/>
    </w:pPr>
    <w:rPr>
      <w:rFonts w:ascii="Calibri" w:hAnsi="Calibri" w:eastAsia="宋体" w:cs="Times New Roman"/>
      <w:szCs w:val="22"/>
    </w:rPr>
  </w:style>
  <w:style w:type="paragraph" w:styleId="3">
    <w:name w:val="footer"/>
    <w:basedOn w:val="1"/>
    <w:qFormat/>
    <w:uiPriority w:val="0"/>
    <w:pPr>
      <w:tabs>
        <w:tab w:val="center" w:pos="4153"/>
        <w:tab w:val="right" w:pos="8306"/>
      </w:tabs>
      <w:snapToGrid w:val="0"/>
      <w:jc w:val="left"/>
    </w:pPr>
    <w:rPr>
      <w:sz w:val="18"/>
      <w:szCs w:val="18"/>
    </w:rPr>
  </w:style>
  <w:style w:type="character" w:styleId="5">
    <w:name w:val="page number"/>
    <w:basedOn w:val="4"/>
    <w:qFormat/>
    <w:uiPriority w:val="0"/>
  </w:style>
  <w:style w:type="paragraph" w:customStyle="1" w:styleId="7">
    <w:name w:val="内容"/>
    <w:basedOn w:val="1"/>
    <w:qFormat/>
    <w:uiPriority w:val="0"/>
    <w:pPr>
      <w:suppressAutoHyphens/>
      <w:overflowPunct w:val="0"/>
      <w:autoSpaceDE w:val="0"/>
      <w:autoSpaceDN w:val="0"/>
      <w:adjustRightInd w:val="0"/>
      <w:spacing w:line="360" w:lineRule="auto"/>
      <w:ind w:firstLine="200" w:firstLineChars="200"/>
    </w:pPr>
    <w:rPr>
      <w:rFonts w:ascii="仿宋_GB2312" w:hAnsi="仿宋_GB2312" w:eastAsia="仿宋_GB2312"/>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2020-12-10T02:26:00Z</dcterms:created>
  <dc:creator>徐霄飞</dc:creator>
  <cp:lastModifiedBy>贵杨</cp:lastModifiedBy>
  <cp:lastPrinted>2020-12-14T02:30:00Z</cp:lastPrinted>
  <dcterms:modified xsi:type="dcterms:W3CDTF">2020-12-14T03:51:22Z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