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pageBreakBefore w:val="0"/>
        <w:widowControl w:val="0"/>
        <w:kinsoku/>
        <w:wordWrap/>
        <w:overflowPunct/>
        <w:topLinePunct w:val="0"/>
        <w:autoSpaceDE/>
        <w:autoSpaceDN/>
        <w:bidi w:val="0"/>
        <w:adjustRightInd/>
        <w:snapToGrid/>
        <w:spacing w:afterLines="0" w:line="578" w:lineRule="exact"/>
        <w:jc w:val="center"/>
        <w:textAlignment w:val="auto"/>
        <w:rPr>
          <w:rStyle w:val="34"/>
          <w:rFonts w:ascii="Times New Roman"/>
          <w:b w:val="0"/>
        </w:rPr>
      </w:pPr>
      <w:bookmarkStart w:id="0" w:name="_Toc2677266"/>
      <w:bookmarkStart w:id="1" w:name="_Toc529343115"/>
      <w:bookmarkStart w:id="2" w:name="_Toc527562385"/>
      <w:bookmarkStart w:id="3" w:name="_Toc527378180"/>
      <w:bookmarkStart w:id="4" w:name="_Toc2756797"/>
      <w:bookmarkStart w:id="5" w:name="_Toc20821"/>
      <w:bookmarkStart w:id="6" w:name="_Toc527306885"/>
      <w:r>
        <w:rPr>
          <w:rStyle w:val="34"/>
          <w:rFonts w:hint="eastAsia" w:ascii="Times New Roman"/>
          <w:b w:val="0"/>
        </w:rPr>
        <w:t>北京市市场监督管理局</w:t>
      </w:r>
      <w:r>
        <w:rPr>
          <w:rStyle w:val="34"/>
          <w:rFonts w:ascii="Times New Roman"/>
          <w:b w:val="0"/>
        </w:rPr>
        <w:br w:type="textWrapping"/>
      </w:r>
      <w:r>
        <w:rPr>
          <w:rStyle w:val="34"/>
          <w:rFonts w:ascii="Times New Roman" w:hAnsi="方正小标宋简体"/>
          <w:b w:val="0"/>
        </w:rPr>
        <w:t>行政处罚决定书</w:t>
      </w:r>
      <w:bookmarkEnd w:id="0"/>
      <w:bookmarkEnd w:id="1"/>
      <w:bookmarkEnd w:id="2"/>
      <w:bookmarkEnd w:id="3"/>
      <w:bookmarkEnd w:id="4"/>
      <w:bookmarkEnd w:id="5"/>
      <w:bookmarkEnd w:id="6"/>
    </w:p>
    <w:p>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eastAsia="仿宋_GB2312" w:cs="仿宋_GB2312"/>
          <w:bCs/>
          <w:color w:val="000000"/>
          <w:sz w:val="32"/>
          <w:szCs w:val="32"/>
        </w:rPr>
      </w:pPr>
      <w:bookmarkStart w:id="7" w:name="litigantInfo"/>
      <w:bookmarkEnd w:id="7"/>
      <w:r>
        <w:rPr>
          <w:rFonts w:hint="eastAsia" w:eastAsia="仿宋_GB2312" w:cs="仿宋_GB2312"/>
          <w:bCs/>
          <w:color w:val="000000"/>
          <w:sz w:val="32"/>
          <w:szCs w:val="32"/>
        </w:rPr>
        <w:t>京市监垄罚〔2022〕0600</w:t>
      </w:r>
      <w:r>
        <w:rPr>
          <w:rFonts w:hint="eastAsia" w:eastAsia="仿宋_GB2312" w:cs="仿宋_GB2312"/>
          <w:bCs/>
          <w:color w:val="000000"/>
          <w:sz w:val="32"/>
          <w:szCs w:val="32"/>
          <w:lang w:val="en-US" w:eastAsia="zh-CN"/>
        </w:rPr>
        <w:t>2</w:t>
      </w:r>
      <w:r>
        <w:rPr>
          <w:rFonts w:hint="eastAsia" w:eastAsia="仿宋_GB2312" w:cs="仿宋_GB2312"/>
          <w:bCs/>
          <w:color w:val="000000"/>
          <w:sz w:val="32"/>
          <w:szCs w:val="32"/>
        </w:rPr>
        <w:t>号</w:t>
      </w:r>
    </w:p>
    <w:p>
      <w:pPr>
        <w:pStyle w:val="2"/>
        <w:keepNext w:val="0"/>
        <w:keepLines w:val="0"/>
        <w:pageBreakBefore w:val="0"/>
        <w:kinsoku/>
        <w:wordWrap/>
        <w:topLinePunct w:val="0"/>
        <w:bidi w:val="0"/>
        <w:snapToGrid/>
        <w:spacing w:after="0" w:line="578" w:lineRule="exact"/>
      </w:pPr>
    </w:p>
    <w:p>
      <w:pPr>
        <w:keepNext w:val="0"/>
        <w:keepLines w:val="0"/>
        <w:pageBreakBefore w:val="0"/>
        <w:widowControl/>
        <w:kinsoku/>
        <w:wordWrap/>
        <w:overflowPunct/>
        <w:topLinePunct w:val="0"/>
        <w:autoSpaceDE/>
        <w:autoSpaceDN/>
        <w:bidi w:val="0"/>
        <w:adjustRightInd w:val="0"/>
        <w:snapToGrid/>
        <w:spacing w:line="578" w:lineRule="exact"/>
        <w:ind w:firstLine="640" w:firstLineChars="200"/>
        <w:outlineLvl w:val="9"/>
        <w:rPr>
          <w:rFonts w:ascii="Times New Roman" w:hAnsi="Times New Roman" w:eastAsia="黑体" w:cs="Times New Roman"/>
          <w:sz w:val="32"/>
          <w:szCs w:val="32"/>
        </w:rPr>
      </w:pPr>
      <w:r>
        <w:rPr>
          <w:rFonts w:ascii="Times New Roman" w:hAnsi="Times New Roman" w:eastAsia="黑体" w:cs="Times New Roman"/>
          <w:sz w:val="32"/>
          <w:szCs w:val="32"/>
        </w:rPr>
        <w:t>一、当事人基本情况</w:t>
      </w:r>
    </w:p>
    <w:p>
      <w:pPr>
        <w:keepNext w:val="0"/>
        <w:keepLines w:val="0"/>
        <w:pageBreakBefore w:val="0"/>
        <w:kinsoku/>
        <w:wordWrap/>
        <w:overflowPunct/>
        <w:topLinePunct w:val="0"/>
        <w:autoSpaceDE/>
        <w:autoSpaceDN/>
        <w:bidi w:val="0"/>
        <w:snapToGrid/>
        <w:spacing w:line="578" w:lineRule="exact"/>
        <w:ind w:firstLine="640" w:firstLineChars="200"/>
        <w:outlineLvl w:val="9"/>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eastAsia="zh-CN"/>
        </w:rPr>
        <w:t>当事人</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北京凯瑞联盟教育科技有限公司</w:t>
      </w:r>
    </w:p>
    <w:p>
      <w:pPr>
        <w:pStyle w:val="2"/>
        <w:keepNext w:val="0"/>
        <w:keepLines w:val="0"/>
        <w:pageBreakBefore w:val="0"/>
        <w:kinsoku/>
        <w:wordWrap/>
        <w:overflowPunct/>
        <w:topLinePunct w:val="0"/>
        <w:autoSpaceDE/>
        <w:autoSpaceDN/>
        <w:bidi w:val="0"/>
        <w:snapToGrid/>
        <w:spacing w:after="0" w:line="578" w:lineRule="exact"/>
        <w:outlineLvl w:val="9"/>
        <w:rPr>
          <w:rFonts w:hint="default" w:eastAsia="仿宋_GB2312"/>
          <w:lang w:val="en-US" w:eastAsia="zh-CN"/>
        </w:rPr>
      </w:pPr>
      <w:r>
        <w:rPr>
          <w:rFonts w:hint="eastAsia" w:ascii="Times New Roman" w:hAnsi="Times New Roman" w:eastAsia="仿宋_GB2312" w:cs="Times New Roman"/>
          <w:sz w:val="32"/>
          <w:szCs w:val="32"/>
          <w:lang w:val="en-US" w:eastAsia="zh-CN"/>
        </w:rPr>
        <w:t xml:space="preserve">    统一社会信用代码：911101010612893033</w:t>
      </w:r>
    </w:p>
    <w:p>
      <w:pPr>
        <w:keepNext w:val="0"/>
        <w:keepLines w:val="0"/>
        <w:pageBreakBefore w:val="0"/>
        <w:kinsoku/>
        <w:wordWrap/>
        <w:overflowPunct/>
        <w:topLinePunct w:val="0"/>
        <w:autoSpaceDE/>
        <w:autoSpaceDN/>
        <w:bidi w:val="0"/>
        <w:snapToGrid/>
        <w:spacing w:line="578" w:lineRule="exact"/>
        <w:ind w:firstLine="640" w:firstLineChars="200"/>
        <w:outlineLvl w:val="9"/>
        <w:rPr>
          <w:rFonts w:ascii="Times New Roman" w:hAnsi="Times New Roman" w:eastAsia="仿宋_GB2312" w:cs="Times New Roman"/>
          <w:sz w:val="32"/>
          <w:szCs w:val="32"/>
        </w:rPr>
      </w:pPr>
      <w:r>
        <w:rPr>
          <w:rFonts w:ascii="Times New Roman" w:hAnsi="Times New Roman" w:eastAsia="仿宋_GB2312" w:cs="Times New Roman"/>
          <w:sz w:val="32"/>
          <w:szCs w:val="32"/>
        </w:rPr>
        <w:t>住所：</w:t>
      </w:r>
      <w:r>
        <w:rPr>
          <w:rFonts w:hint="eastAsia" w:ascii="仿宋_GB2312" w:hAnsi="仿宋_GB2312" w:eastAsia="仿宋_GB2312" w:cs="仿宋_GB2312"/>
          <w:sz w:val="32"/>
          <w:szCs w:val="32"/>
        </w:rPr>
        <w:t>北京市东城区</w:t>
      </w:r>
      <w:r>
        <w:rPr>
          <w:rFonts w:hint="eastAsia" w:ascii="仿宋_GB2312" w:hAnsi="仿宋_GB2312" w:eastAsia="仿宋_GB2312" w:cs="仿宋_GB2312"/>
          <w:sz w:val="32"/>
          <w:szCs w:val="32"/>
          <w:lang w:eastAsia="zh-CN"/>
        </w:rPr>
        <w:t>金宝街</w:t>
      </w:r>
      <w:r>
        <w:rPr>
          <w:rFonts w:hint="eastAsia" w:ascii="仿宋_GB2312" w:hAnsi="仿宋_GB2312" w:eastAsia="仿宋_GB2312" w:cs="仿宋_GB2312"/>
          <w:sz w:val="32"/>
          <w:szCs w:val="32"/>
          <w:lang w:val="en-US" w:eastAsia="zh-CN"/>
        </w:rPr>
        <w:t>2号2层201-210</w:t>
      </w:r>
    </w:p>
    <w:p>
      <w:pPr>
        <w:keepNext w:val="0"/>
        <w:keepLines w:val="0"/>
        <w:pageBreakBefore w:val="0"/>
        <w:kinsoku/>
        <w:wordWrap/>
        <w:overflowPunct/>
        <w:topLinePunct w:val="0"/>
        <w:autoSpaceDE/>
        <w:autoSpaceDN/>
        <w:bidi w:val="0"/>
        <w:snapToGrid/>
        <w:spacing w:line="578" w:lineRule="exact"/>
        <w:ind w:firstLine="640" w:firstLineChars="200"/>
        <w:outlineLvl w:val="9"/>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法定代表人：王杰</w:t>
      </w:r>
    </w:p>
    <w:p>
      <w:pPr>
        <w:keepNext w:val="0"/>
        <w:keepLines w:val="0"/>
        <w:pageBreakBefore w:val="0"/>
        <w:widowControl/>
        <w:kinsoku/>
        <w:wordWrap/>
        <w:overflowPunct/>
        <w:topLinePunct w:val="0"/>
        <w:autoSpaceDE/>
        <w:autoSpaceDN/>
        <w:bidi w:val="0"/>
        <w:adjustRightInd w:val="0"/>
        <w:snapToGrid/>
        <w:spacing w:line="578" w:lineRule="exact"/>
        <w:ind w:firstLine="640" w:firstLineChars="200"/>
        <w:outlineLvl w:val="9"/>
        <w:rPr>
          <w:rFonts w:hint="default"/>
          <w:lang w:val="en-US" w:eastAsia="zh-CN"/>
        </w:rPr>
      </w:pPr>
      <w:r>
        <w:rPr>
          <w:rFonts w:hint="eastAsia" w:ascii="Times New Roman" w:hAnsi="Times New Roman" w:eastAsia="仿宋_GB2312" w:cs="Times New Roman"/>
          <w:sz w:val="32"/>
          <w:szCs w:val="32"/>
          <w:lang w:eastAsia="zh-CN"/>
        </w:rPr>
        <w:t>经营范围：技术开发、技术转让、技术服务、技术咨询、技术推广；教育咨询；出版物批发；出版物零售</w:t>
      </w:r>
      <w:r>
        <w:rPr>
          <w:rFonts w:hint="eastAsia" w:ascii="Times New Roman" w:hAnsi="Times New Roman" w:eastAsia="仿宋_GB2312" w:cs="Times New Roman"/>
          <w:sz w:val="32"/>
          <w:szCs w:val="32"/>
          <w:lang w:val="en-US" w:eastAsia="zh-CN"/>
        </w:rPr>
        <w:t>等</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 xml:space="preserve">  </w:t>
      </w:r>
    </w:p>
    <w:p>
      <w:pPr>
        <w:keepNext w:val="0"/>
        <w:keepLines w:val="0"/>
        <w:pageBreakBefore w:val="0"/>
        <w:widowControl/>
        <w:kinsoku/>
        <w:wordWrap/>
        <w:topLinePunct w:val="0"/>
        <w:bidi w:val="0"/>
        <w:adjustRightInd w:val="0"/>
        <w:snapToGrid/>
        <w:spacing w:line="578" w:lineRule="exact"/>
        <w:ind w:firstLine="640" w:firstLineChars="200"/>
        <w:outlineLvl w:val="9"/>
        <w:rPr>
          <w:rFonts w:ascii="Times New Roman" w:hAnsi="Times New Roman" w:eastAsia="黑体" w:cs="Times New Roman"/>
          <w:sz w:val="32"/>
          <w:szCs w:val="32"/>
        </w:rPr>
      </w:pPr>
      <w:r>
        <w:rPr>
          <w:rFonts w:ascii="Times New Roman" w:hAnsi="Times New Roman" w:eastAsia="黑体" w:cs="Times New Roman"/>
          <w:sz w:val="32"/>
          <w:szCs w:val="32"/>
        </w:rPr>
        <w:t>二、案件来源及调查经过</w:t>
      </w:r>
    </w:p>
    <w:p>
      <w:pPr>
        <w:keepNext w:val="0"/>
        <w:keepLines w:val="0"/>
        <w:pageBreakBefore w:val="0"/>
        <w:kinsoku/>
        <w:wordWrap/>
        <w:topLinePunct w:val="0"/>
        <w:bidi w:val="0"/>
        <w:snapToGrid/>
        <w:spacing w:line="578" w:lineRule="exact"/>
        <w:ind w:firstLine="640" w:firstLineChars="200"/>
        <w:outlineLvl w:val="9"/>
        <w:rPr>
          <w:rFonts w:ascii="Times New Roman" w:eastAsia="仿宋_GB2312" w:cs="Times New Roman"/>
          <w:color w:val="000000"/>
          <w:sz w:val="32"/>
          <w:szCs w:val="32"/>
        </w:rPr>
      </w:pPr>
      <w:r>
        <w:rPr>
          <w:rFonts w:hint="eastAsia" w:ascii="Times New Roman" w:eastAsia="仿宋_GB2312" w:cs="Times New Roman" w:hAnsiTheme="minorHAnsi"/>
          <w:sz w:val="32"/>
          <w:szCs w:val="32"/>
        </w:rPr>
        <w:t>根据</w:t>
      </w:r>
      <w:r>
        <w:rPr>
          <w:rFonts w:hint="eastAsia" w:ascii="Times New Roman" w:eastAsia="仿宋_GB2312" w:cs="Times New Roman"/>
          <w:sz w:val="32"/>
          <w:szCs w:val="32"/>
          <w:lang w:val="en-US" w:eastAsia="zh-CN"/>
        </w:rPr>
        <w:t>有</w:t>
      </w:r>
      <w:r>
        <w:rPr>
          <w:rFonts w:hint="eastAsia" w:ascii="Times New Roman" w:eastAsia="仿宋_GB2312" w:cs="Times New Roman" w:hAnsiTheme="minorHAnsi"/>
          <w:sz w:val="32"/>
          <w:szCs w:val="32"/>
        </w:rPr>
        <w:t>关线索，2021年2月20日</w:t>
      </w:r>
      <w:r>
        <w:rPr>
          <w:rFonts w:ascii="Times New Roman" w:eastAsia="仿宋_GB2312" w:cs="Times New Roman"/>
          <w:sz w:val="32"/>
          <w:szCs w:val="32"/>
        </w:rPr>
        <w:t>本机关</w:t>
      </w:r>
      <w:r>
        <w:rPr>
          <w:rFonts w:hint="eastAsia" w:ascii="Times New Roman" w:eastAsia="仿宋_GB2312" w:cs="Times New Roman"/>
          <w:sz w:val="32"/>
          <w:szCs w:val="32"/>
        </w:rPr>
        <w:t>依据《中华人民共和国反垄断法》（以下简称《反垄断法》）</w:t>
      </w:r>
      <w:r>
        <w:rPr>
          <w:rFonts w:hint="eastAsia" w:ascii="Times New Roman" w:eastAsia="仿宋_GB2312" w:cs="Times New Roman"/>
          <w:sz w:val="32"/>
          <w:szCs w:val="32"/>
          <w:lang w:eastAsia="zh-CN"/>
        </w:rPr>
        <w:t>依法</w:t>
      </w:r>
      <w:r>
        <w:rPr>
          <w:rFonts w:ascii="Times New Roman" w:eastAsia="仿宋_GB2312" w:cs="Times New Roman"/>
          <w:sz w:val="32"/>
          <w:szCs w:val="32"/>
        </w:rPr>
        <w:t>对</w:t>
      </w:r>
      <w:r>
        <w:rPr>
          <w:rFonts w:hint="eastAsia" w:ascii="Times New Roman" w:eastAsia="仿宋_GB2312" w:cs="Times New Roman"/>
          <w:sz w:val="32"/>
          <w:szCs w:val="32"/>
        </w:rPr>
        <w:t>北京凯瑞联盟教育科技有限公司</w:t>
      </w:r>
      <w:r>
        <w:rPr>
          <w:rFonts w:ascii="Times New Roman" w:eastAsia="仿宋_GB2312" w:cs="Times New Roman"/>
          <w:sz w:val="32"/>
          <w:szCs w:val="32"/>
        </w:rPr>
        <w:t>（以下简称当事人）涉嫌与交易相对人达成</w:t>
      </w:r>
      <w:r>
        <w:rPr>
          <w:rFonts w:hint="eastAsia" w:ascii="Times New Roman" w:eastAsia="仿宋_GB2312" w:cs="Times New Roman"/>
          <w:sz w:val="32"/>
          <w:szCs w:val="32"/>
        </w:rPr>
        <w:t>并实施</w:t>
      </w:r>
      <w:r>
        <w:rPr>
          <w:rFonts w:ascii="Times New Roman" w:eastAsia="仿宋_GB2312" w:cs="Times New Roman"/>
          <w:sz w:val="32"/>
          <w:szCs w:val="32"/>
        </w:rPr>
        <w:t>固定转售价格</w:t>
      </w:r>
      <w:r>
        <w:rPr>
          <w:rFonts w:hint="eastAsia" w:ascii="Times New Roman" w:eastAsia="仿宋_GB2312" w:cs="Times New Roman"/>
          <w:sz w:val="32"/>
          <w:szCs w:val="32"/>
          <w:lang w:val="en-US" w:eastAsia="zh-CN"/>
        </w:rPr>
        <w:t>垄断协议</w:t>
      </w:r>
      <w:r>
        <w:rPr>
          <w:rFonts w:ascii="Times New Roman" w:eastAsia="仿宋_GB2312" w:cs="Times New Roman"/>
          <w:sz w:val="32"/>
          <w:szCs w:val="32"/>
        </w:rPr>
        <w:t>的行为</w:t>
      </w:r>
      <w:r>
        <w:rPr>
          <w:rFonts w:hint="eastAsia" w:ascii="Times New Roman" w:eastAsia="仿宋_GB2312" w:cs="Times New Roman"/>
          <w:sz w:val="32"/>
          <w:szCs w:val="32"/>
          <w:lang w:val="en-US" w:eastAsia="zh-CN"/>
        </w:rPr>
        <w:t>立案</w:t>
      </w:r>
      <w:r>
        <w:rPr>
          <w:rFonts w:ascii="Times New Roman" w:eastAsia="仿宋_GB2312" w:cs="Times New Roman"/>
          <w:sz w:val="32"/>
          <w:szCs w:val="32"/>
        </w:rPr>
        <w:t>调查。</w:t>
      </w:r>
      <w:r>
        <w:rPr>
          <w:rFonts w:ascii="Times New Roman" w:eastAsia="仿宋_GB2312" w:cs="Times New Roman"/>
          <w:color w:val="000000"/>
          <w:sz w:val="32"/>
          <w:szCs w:val="32"/>
        </w:rPr>
        <w:t>期间，本机关</w:t>
      </w:r>
      <w:r>
        <w:rPr>
          <w:rFonts w:hint="eastAsia" w:ascii="Times New Roman" w:eastAsia="仿宋_GB2312" w:cs="Times New Roman"/>
          <w:color w:val="000000"/>
          <w:sz w:val="32"/>
          <w:szCs w:val="32"/>
          <w:lang w:val="en-US" w:eastAsia="zh-CN"/>
        </w:rPr>
        <w:t>对当事人</w:t>
      </w:r>
      <w:r>
        <w:rPr>
          <w:rFonts w:ascii="Times New Roman" w:eastAsia="仿宋_GB2312" w:cs="Times New Roman"/>
          <w:color w:val="000000"/>
          <w:sz w:val="32"/>
          <w:szCs w:val="32"/>
        </w:rPr>
        <w:t>进行了现场检查</w:t>
      </w:r>
      <w:r>
        <w:rPr>
          <w:rFonts w:hint="eastAsia" w:ascii="Times New Roman" w:eastAsia="仿宋_GB2312" w:cs="Times New Roman"/>
          <w:color w:val="000000"/>
          <w:sz w:val="32"/>
          <w:szCs w:val="32"/>
          <w:lang w:val="en-US" w:eastAsia="zh-CN"/>
        </w:rPr>
        <w:t>和</w:t>
      </w:r>
      <w:r>
        <w:rPr>
          <w:rFonts w:ascii="Times New Roman" w:eastAsia="仿宋_GB2312" w:cs="Times New Roman"/>
          <w:color w:val="000000"/>
          <w:sz w:val="32"/>
          <w:szCs w:val="32"/>
        </w:rPr>
        <w:t>询问调查，</w:t>
      </w:r>
      <w:r>
        <w:rPr>
          <w:rFonts w:ascii="Times New Roman" w:hAnsi="Times New Roman" w:eastAsia="仿宋_GB2312" w:cs="Times New Roman"/>
          <w:sz w:val="32"/>
          <w:szCs w:val="32"/>
        </w:rPr>
        <w:t>对</w:t>
      </w:r>
      <w:r>
        <w:rPr>
          <w:rFonts w:hint="eastAsia" w:ascii="Times New Roman" w:hAnsi="Times New Roman" w:eastAsia="仿宋_GB2312" w:cs="Times New Roman"/>
          <w:sz w:val="32"/>
          <w:szCs w:val="32"/>
          <w:lang w:eastAsia="zh-CN"/>
        </w:rPr>
        <w:t>当事人</w:t>
      </w:r>
      <w:r>
        <w:rPr>
          <w:rFonts w:hint="eastAsia" w:ascii="Times New Roman" w:hAnsi="Times New Roman" w:eastAsia="仿宋_GB2312" w:cs="Times New Roman"/>
          <w:sz w:val="32"/>
          <w:szCs w:val="32"/>
          <w:lang w:val="en-US" w:eastAsia="zh-CN"/>
        </w:rPr>
        <w:t>部分交易相对人开展了外围调查</w:t>
      </w:r>
      <w:r>
        <w:rPr>
          <w:rFonts w:ascii="Times New Roman" w:hAnsi="Times New Roman" w:eastAsia="仿宋_GB2312" w:cs="Times New Roman"/>
          <w:sz w:val="32"/>
          <w:szCs w:val="32"/>
        </w:rPr>
        <w:t>，</w:t>
      </w:r>
      <w:r>
        <w:rPr>
          <w:rFonts w:ascii="Times New Roman" w:eastAsia="仿宋_GB2312" w:cs="Times New Roman"/>
          <w:color w:val="000000"/>
          <w:sz w:val="32"/>
          <w:szCs w:val="32"/>
        </w:rPr>
        <w:t>提取了相关</w:t>
      </w:r>
      <w:r>
        <w:rPr>
          <w:rFonts w:hint="eastAsia" w:ascii="Times New Roman" w:eastAsia="仿宋_GB2312" w:cs="Times New Roman"/>
          <w:color w:val="000000"/>
          <w:sz w:val="32"/>
          <w:szCs w:val="32"/>
          <w:lang w:eastAsia="zh-CN"/>
        </w:rPr>
        <w:t>证据</w:t>
      </w:r>
      <w:r>
        <w:rPr>
          <w:rFonts w:ascii="Times New Roman" w:eastAsia="仿宋_GB2312" w:cs="Times New Roman"/>
          <w:color w:val="000000"/>
          <w:sz w:val="32"/>
          <w:szCs w:val="32"/>
        </w:rPr>
        <w:t>材料</w:t>
      </w:r>
      <w:r>
        <w:rPr>
          <w:rFonts w:hint="eastAsia" w:ascii="Times New Roman" w:eastAsia="仿宋_GB2312" w:cs="Times New Roman"/>
          <w:color w:val="000000"/>
          <w:sz w:val="32"/>
          <w:szCs w:val="32"/>
          <w:lang w:eastAsia="zh-CN"/>
        </w:rPr>
        <w:t>，</w:t>
      </w:r>
      <w:r>
        <w:rPr>
          <w:rFonts w:hint="eastAsia" w:ascii="仿宋_GB2312" w:eastAsia="仿宋_GB2312"/>
          <w:sz w:val="32"/>
          <w:szCs w:val="32"/>
        </w:rPr>
        <w:t>分析论证</w:t>
      </w:r>
      <w:r>
        <w:rPr>
          <w:rFonts w:hint="eastAsia" w:ascii="仿宋_GB2312" w:eastAsia="仿宋_GB2312"/>
          <w:sz w:val="32"/>
          <w:szCs w:val="32"/>
          <w:lang w:eastAsia="zh-CN"/>
        </w:rPr>
        <w:t>了</w:t>
      </w:r>
      <w:r>
        <w:rPr>
          <w:rFonts w:hint="eastAsia" w:ascii="仿宋_GB2312" w:eastAsia="仿宋_GB2312"/>
          <w:sz w:val="32"/>
          <w:szCs w:val="32"/>
        </w:rPr>
        <w:t>涉案行为对市场竞争</w:t>
      </w:r>
      <w:r>
        <w:rPr>
          <w:rFonts w:hint="eastAsia" w:ascii="仿宋_GB2312" w:eastAsia="仿宋_GB2312"/>
          <w:sz w:val="32"/>
          <w:szCs w:val="32"/>
          <w:lang w:val="en-US" w:eastAsia="zh-CN"/>
        </w:rPr>
        <w:t>及</w:t>
      </w:r>
      <w:r>
        <w:rPr>
          <w:rFonts w:hint="eastAsia" w:ascii="仿宋_GB2312" w:eastAsia="仿宋_GB2312"/>
          <w:sz w:val="32"/>
          <w:szCs w:val="32"/>
        </w:rPr>
        <w:t>消费者</w:t>
      </w:r>
      <w:r>
        <w:rPr>
          <w:rFonts w:hint="eastAsia" w:ascii="仿宋_GB2312" w:eastAsia="仿宋_GB2312"/>
          <w:sz w:val="32"/>
          <w:szCs w:val="32"/>
          <w:lang w:val="en-US" w:eastAsia="zh-CN"/>
        </w:rPr>
        <w:t>利益</w:t>
      </w:r>
      <w:r>
        <w:rPr>
          <w:rFonts w:hint="eastAsia" w:ascii="仿宋_GB2312" w:eastAsia="仿宋_GB2312"/>
          <w:sz w:val="32"/>
          <w:szCs w:val="32"/>
        </w:rPr>
        <w:t>的影响，</w:t>
      </w:r>
      <w:r>
        <w:rPr>
          <w:rFonts w:hint="eastAsia" w:ascii="Times New Roman" w:hAnsi="Times New Roman" w:eastAsia="仿宋_GB2312" w:cs="Times New Roman"/>
          <w:sz w:val="32"/>
          <w:szCs w:val="32"/>
        </w:rPr>
        <w:t>并</w:t>
      </w:r>
      <w:r>
        <w:rPr>
          <w:rFonts w:hint="eastAsia" w:ascii="Times New Roman" w:hAnsi="Times New Roman" w:eastAsia="仿宋_GB2312" w:cs="Times New Roman"/>
          <w:sz w:val="32"/>
          <w:szCs w:val="32"/>
          <w:lang w:eastAsia="zh-CN"/>
        </w:rPr>
        <w:t>对本案涉及的主要问题</w:t>
      </w:r>
      <w:r>
        <w:rPr>
          <w:rFonts w:hint="eastAsia" w:ascii="Times New Roman" w:hAnsi="Times New Roman" w:eastAsia="仿宋_GB2312" w:cs="Times New Roman"/>
          <w:sz w:val="32"/>
          <w:szCs w:val="32"/>
          <w:lang w:val="en-US" w:eastAsia="zh-CN"/>
        </w:rPr>
        <w:t>多次</w:t>
      </w:r>
      <w:r>
        <w:rPr>
          <w:rFonts w:ascii="Times New Roman" w:hAnsi="Times New Roman" w:eastAsia="仿宋_GB2312" w:cs="Times New Roman"/>
          <w:sz w:val="32"/>
          <w:szCs w:val="32"/>
        </w:rPr>
        <w:t>召开专家</w:t>
      </w:r>
      <w:r>
        <w:rPr>
          <w:rFonts w:hint="eastAsia" w:ascii="Times New Roman" w:hAnsi="Times New Roman" w:eastAsia="仿宋_GB2312" w:cs="Times New Roman"/>
          <w:sz w:val="32"/>
          <w:szCs w:val="32"/>
          <w:lang w:val="en-US" w:eastAsia="zh-CN"/>
        </w:rPr>
        <w:t>研讨</w:t>
      </w:r>
      <w:r>
        <w:rPr>
          <w:rFonts w:ascii="Times New Roman" w:hAnsi="Times New Roman" w:eastAsia="仿宋_GB2312" w:cs="Times New Roman"/>
          <w:sz w:val="32"/>
          <w:szCs w:val="32"/>
        </w:rPr>
        <w:t>会</w:t>
      </w:r>
      <w:r>
        <w:rPr>
          <w:rFonts w:hint="eastAsia" w:ascii="Times New Roman" w:hAnsi="Times New Roman" w:eastAsia="仿宋_GB2312" w:cs="Times New Roman"/>
          <w:sz w:val="32"/>
          <w:szCs w:val="32"/>
          <w:lang w:val="en-US" w:eastAsia="zh-CN"/>
        </w:rPr>
        <w:t>和相关企业座谈会</w:t>
      </w:r>
      <w:r>
        <w:rPr>
          <w:rFonts w:hint="eastAsia" w:ascii="Times New Roman" w:hAnsi="Times New Roman" w:eastAsia="仿宋_GB2312" w:cs="Times New Roman"/>
          <w:sz w:val="32"/>
          <w:szCs w:val="32"/>
          <w:lang w:eastAsia="zh-CN"/>
        </w:rPr>
        <w:t>进行</w:t>
      </w:r>
      <w:r>
        <w:rPr>
          <w:rFonts w:ascii="Times New Roman" w:hAnsi="Times New Roman" w:eastAsia="仿宋_GB2312" w:cs="Times New Roman"/>
          <w:sz w:val="32"/>
          <w:szCs w:val="32"/>
        </w:rPr>
        <w:t>研究</w:t>
      </w:r>
      <w:r>
        <w:rPr>
          <w:rFonts w:hint="eastAsia" w:ascii="Times New Roman" w:hAnsi="Times New Roman" w:eastAsia="仿宋_GB2312" w:cs="Times New Roman"/>
          <w:sz w:val="32"/>
          <w:szCs w:val="32"/>
          <w:lang w:eastAsia="zh-CN"/>
        </w:rPr>
        <w:t>论证</w:t>
      </w:r>
      <w:r>
        <w:rPr>
          <w:rFonts w:hint="eastAsia" w:ascii="Times New Roman" w:hAnsi="Times New Roman" w:eastAsia="仿宋_GB2312" w:cs="Times New Roman"/>
          <w:sz w:val="32"/>
          <w:szCs w:val="32"/>
          <w:lang w:val="en-US" w:eastAsia="zh-CN"/>
        </w:rPr>
        <w:t>，</w:t>
      </w:r>
      <w:r>
        <w:rPr>
          <w:rFonts w:ascii="Times New Roman" w:eastAsia="仿宋_GB2312" w:cs="Times New Roman"/>
          <w:color w:val="000000"/>
          <w:sz w:val="32"/>
          <w:szCs w:val="32"/>
        </w:rPr>
        <w:t>多次与</w:t>
      </w:r>
      <w:r>
        <w:rPr>
          <w:rFonts w:ascii="Times New Roman" w:eastAsia="仿宋_GB2312" w:cs="Times New Roman"/>
          <w:sz w:val="32"/>
          <w:szCs w:val="32"/>
        </w:rPr>
        <w:t>当事人</w:t>
      </w:r>
      <w:r>
        <w:rPr>
          <w:rFonts w:ascii="Times New Roman" w:eastAsia="仿宋_GB2312" w:cs="Times New Roman"/>
          <w:color w:val="000000"/>
          <w:sz w:val="32"/>
          <w:szCs w:val="32"/>
        </w:rPr>
        <w:t>沟通</w:t>
      </w:r>
      <w:r>
        <w:rPr>
          <w:rFonts w:hint="eastAsia" w:ascii="Times New Roman" w:eastAsia="仿宋_GB2312" w:cs="Times New Roman"/>
          <w:color w:val="000000"/>
          <w:sz w:val="32"/>
          <w:szCs w:val="32"/>
          <w:lang w:eastAsia="zh-CN"/>
        </w:rPr>
        <w:t>，</w:t>
      </w:r>
      <w:r>
        <w:rPr>
          <w:rFonts w:hint="eastAsia" w:ascii="Times New Roman" w:eastAsia="仿宋_GB2312" w:cs="Times New Roman"/>
          <w:color w:val="000000"/>
          <w:sz w:val="32"/>
          <w:szCs w:val="32"/>
          <w:lang w:val="en-US" w:eastAsia="zh-CN"/>
        </w:rPr>
        <w:t>充分</w:t>
      </w:r>
      <w:r>
        <w:rPr>
          <w:rFonts w:ascii="Times New Roman" w:eastAsia="仿宋_GB2312" w:cs="Times New Roman"/>
          <w:color w:val="000000"/>
          <w:sz w:val="32"/>
          <w:szCs w:val="32"/>
        </w:rPr>
        <w:t>听取陈述意见。</w:t>
      </w:r>
    </w:p>
    <w:p>
      <w:pPr>
        <w:keepNext w:val="0"/>
        <w:keepLines w:val="0"/>
        <w:pageBreakBefore w:val="0"/>
        <w:kinsoku/>
        <w:wordWrap/>
        <w:topLinePunct w:val="0"/>
        <w:bidi w:val="0"/>
        <w:snapToGrid/>
        <w:spacing w:line="578" w:lineRule="exact"/>
        <w:ind w:firstLine="640" w:firstLineChars="200"/>
        <w:outlineLvl w:val="9"/>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202</w:t>
      </w:r>
      <w:r>
        <w:rPr>
          <w:rFonts w:hint="eastAsia" w:ascii="Times New Roman" w:hAnsi="Times New Roman" w:eastAsia="仿宋_GB2312" w:cs="Times New Roman"/>
          <w:color w:val="000000"/>
          <w:sz w:val="32"/>
          <w:szCs w:val="32"/>
          <w:lang w:val="en-US" w:eastAsia="zh-CN"/>
        </w:rPr>
        <w:t>2</w:t>
      </w:r>
      <w:r>
        <w:rPr>
          <w:rFonts w:ascii="Times New Roman" w:hAnsi="Times New Roman" w:eastAsia="仿宋_GB2312" w:cs="Times New Roman"/>
          <w:color w:val="000000"/>
          <w:sz w:val="32"/>
          <w:szCs w:val="32"/>
        </w:rPr>
        <w:t>年</w:t>
      </w:r>
      <w:r>
        <w:rPr>
          <w:rFonts w:hint="eastAsia" w:ascii="Times New Roman" w:hAnsi="Times New Roman" w:eastAsia="仿宋_GB2312" w:cs="Times New Roman"/>
          <w:color w:val="000000"/>
          <w:sz w:val="32"/>
          <w:szCs w:val="32"/>
          <w:lang w:val="en-US" w:eastAsia="zh-CN"/>
        </w:rPr>
        <w:t>1</w:t>
      </w:r>
      <w:r>
        <w:rPr>
          <w:rFonts w:ascii="Times New Roman" w:hAnsi="Times New Roman" w:eastAsia="仿宋_GB2312" w:cs="Times New Roman"/>
          <w:color w:val="000000"/>
          <w:sz w:val="32"/>
          <w:szCs w:val="32"/>
        </w:rPr>
        <w:t>月</w:t>
      </w:r>
      <w:r>
        <w:rPr>
          <w:rFonts w:hint="eastAsia" w:ascii="Times New Roman" w:hAnsi="Times New Roman" w:eastAsia="仿宋_GB2312" w:cs="Times New Roman"/>
          <w:color w:val="000000"/>
          <w:sz w:val="32"/>
          <w:szCs w:val="32"/>
          <w:lang w:val="en-US" w:eastAsia="zh-CN"/>
        </w:rPr>
        <w:t>2</w:t>
      </w:r>
      <w:r>
        <w:rPr>
          <w:rFonts w:ascii="Times New Roman" w:hAnsi="Times New Roman" w:eastAsia="仿宋_GB2312" w:cs="Times New Roman"/>
          <w:color w:val="000000"/>
          <w:sz w:val="32"/>
          <w:szCs w:val="32"/>
        </w:rPr>
        <w:t>0日、</w:t>
      </w:r>
      <w:r>
        <w:rPr>
          <w:rFonts w:hint="eastAsia" w:ascii="Times New Roman" w:hAnsi="Times New Roman" w:eastAsia="仿宋_GB2312" w:cs="Times New Roman"/>
          <w:color w:val="000000"/>
          <w:sz w:val="32"/>
          <w:szCs w:val="32"/>
          <w:lang w:val="en-US" w:eastAsia="zh-CN"/>
        </w:rPr>
        <w:t>3</w:t>
      </w:r>
      <w:r>
        <w:rPr>
          <w:rFonts w:ascii="Times New Roman" w:hAnsi="Times New Roman" w:eastAsia="仿宋_GB2312" w:cs="Times New Roman"/>
          <w:color w:val="000000"/>
          <w:sz w:val="32"/>
          <w:szCs w:val="32"/>
        </w:rPr>
        <w:t>月25日，当事人先后向本机关</w:t>
      </w:r>
      <w:r>
        <w:rPr>
          <w:rFonts w:hint="eastAsia" w:ascii="Times New Roman" w:hAnsi="Times New Roman" w:eastAsia="仿宋_GB2312" w:cs="Times New Roman"/>
          <w:color w:val="000000"/>
          <w:sz w:val="32"/>
          <w:szCs w:val="32"/>
          <w:lang w:val="en-US" w:eastAsia="zh-CN"/>
        </w:rPr>
        <w:t>申请</w:t>
      </w:r>
      <w:r>
        <w:rPr>
          <w:rFonts w:ascii="Times New Roman" w:hAnsi="Times New Roman" w:eastAsia="仿宋_GB2312" w:cs="Times New Roman"/>
          <w:color w:val="000000"/>
          <w:sz w:val="32"/>
          <w:szCs w:val="32"/>
        </w:rPr>
        <w:t>中止调查。根据《禁止垄断协议暂行规定》第二十一条第三款规定，本机关认为当事人相关行为构成垄断协议，依法不再接受其</w:t>
      </w:r>
      <w:r>
        <w:rPr>
          <w:rFonts w:hint="eastAsia" w:ascii="Times New Roman" w:hAnsi="Times New Roman" w:eastAsia="仿宋_GB2312" w:cs="Times New Roman"/>
          <w:color w:val="000000"/>
          <w:sz w:val="32"/>
          <w:szCs w:val="32"/>
          <w:lang w:val="en-US" w:eastAsia="zh-CN"/>
        </w:rPr>
        <w:t>提出的</w:t>
      </w:r>
      <w:r>
        <w:rPr>
          <w:rFonts w:ascii="Times New Roman" w:hAnsi="Times New Roman" w:eastAsia="仿宋_GB2312" w:cs="Times New Roman"/>
          <w:color w:val="000000"/>
          <w:sz w:val="32"/>
          <w:szCs w:val="32"/>
        </w:rPr>
        <w:t>中止调查申请。</w:t>
      </w:r>
    </w:p>
    <w:p>
      <w:pPr>
        <w:keepNext w:val="0"/>
        <w:keepLines w:val="0"/>
        <w:pageBreakBefore w:val="0"/>
        <w:kinsoku/>
        <w:wordWrap/>
        <w:topLinePunct w:val="0"/>
        <w:bidi w:val="0"/>
        <w:snapToGrid/>
        <w:spacing w:line="578" w:lineRule="exact"/>
        <w:ind w:firstLine="640" w:firstLineChars="200"/>
        <w:outlineLvl w:val="9"/>
        <w:rPr>
          <w:rFonts w:hint="eastAsia" w:eastAsia="仿宋_GB2312"/>
          <w:sz w:val="32"/>
          <w:szCs w:val="32"/>
          <w:lang w:val="en-US" w:eastAsia="zh-CN"/>
        </w:rPr>
      </w:pPr>
      <w:r>
        <w:rPr>
          <w:rFonts w:eastAsia="仿宋_GB2312"/>
          <w:color w:val="000000"/>
          <w:sz w:val="32"/>
          <w:szCs w:val="32"/>
        </w:rPr>
        <w:t>202</w:t>
      </w:r>
      <w:r>
        <w:rPr>
          <w:rFonts w:hint="eastAsia" w:eastAsia="仿宋_GB2312"/>
          <w:color w:val="000000"/>
          <w:sz w:val="32"/>
          <w:szCs w:val="32"/>
          <w:lang w:val="en-US" w:eastAsia="zh-CN"/>
        </w:rPr>
        <w:t>2</w:t>
      </w:r>
      <w:r>
        <w:rPr>
          <w:rFonts w:eastAsia="仿宋_GB2312"/>
          <w:color w:val="000000"/>
          <w:sz w:val="32"/>
          <w:szCs w:val="32"/>
        </w:rPr>
        <w:t>年</w:t>
      </w:r>
      <w:r>
        <w:rPr>
          <w:rFonts w:hint="eastAsia" w:eastAsia="仿宋_GB2312"/>
          <w:color w:val="000000"/>
          <w:sz w:val="32"/>
          <w:szCs w:val="32"/>
          <w:lang w:val="en-US" w:eastAsia="zh-CN"/>
        </w:rPr>
        <w:t>7</w:t>
      </w:r>
      <w:r>
        <w:rPr>
          <w:rFonts w:eastAsia="仿宋_GB2312"/>
          <w:color w:val="000000"/>
          <w:sz w:val="32"/>
          <w:szCs w:val="32"/>
        </w:rPr>
        <w:t>月</w:t>
      </w:r>
      <w:r>
        <w:rPr>
          <w:rFonts w:hint="eastAsia" w:eastAsia="仿宋_GB2312"/>
          <w:color w:val="000000"/>
          <w:sz w:val="32"/>
          <w:szCs w:val="32"/>
          <w:lang w:val="en-US" w:eastAsia="zh-CN"/>
        </w:rPr>
        <w:t>4</w:t>
      </w:r>
      <w:r>
        <w:rPr>
          <w:rFonts w:eastAsia="仿宋_GB2312"/>
          <w:color w:val="000000"/>
          <w:sz w:val="32"/>
          <w:szCs w:val="32"/>
        </w:rPr>
        <w:t>日，本机关依法向当事人送达《行政处罚告知书》，告知当事人涉嫌违反《反垄断法》的事实、拟作出的行政处罚决定、理由和依据，以及</w:t>
      </w:r>
      <w:r>
        <w:rPr>
          <w:rFonts w:hint="eastAsia" w:eastAsia="仿宋_GB2312"/>
          <w:color w:val="000000"/>
          <w:sz w:val="32"/>
          <w:szCs w:val="32"/>
          <w:lang w:val="en-US" w:eastAsia="zh-CN"/>
        </w:rPr>
        <w:t>当事人</w:t>
      </w:r>
      <w:r>
        <w:rPr>
          <w:rFonts w:eastAsia="仿宋_GB2312"/>
          <w:color w:val="000000"/>
          <w:sz w:val="32"/>
          <w:szCs w:val="32"/>
        </w:rPr>
        <w:t>依法享</w:t>
      </w:r>
      <w:r>
        <w:rPr>
          <w:rFonts w:eastAsia="仿宋_GB2312"/>
          <w:sz w:val="32"/>
          <w:szCs w:val="32"/>
        </w:rPr>
        <w:t>有陈述、申辩和要求举行听证的权利。</w:t>
      </w:r>
      <w:r>
        <w:rPr>
          <w:rFonts w:hint="eastAsia" w:eastAsia="仿宋_GB2312"/>
          <w:sz w:val="32"/>
          <w:szCs w:val="32"/>
          <w:lang w:val="en-US" w:eastAsia="zh-CN"/>
        </w:rPr>
        <w:t>当事人在法定期限内未向本机关提出陈述、申辩意见或听证要求。</w:t>
      </w:r>
    </w:p>
    <w:p>
      <w:pPr>
        <w:keepNext w:val="0"/>
        <w:keepLines w:val="0"/>
        <w:pageBreakBefore w:val="0"/>
        <w:numPr>
          <w:ilvl w:val="-1"/>
          <w:numId w:val="0"/>
        </w:numPr>
        <w:kinsoku/>
        <w:wordWrap/>
        <w:topLinePunct w:val="0"/>
        <w:bidi w:val="0"/>
        <w:snapToGrid/>
        <w:spacing w:line="578" w:lineRule="exact"/>
        <w:ind w:firstLine="640" w:firstLineChars="200"/>
        <w:outlineLvl w:val="9"/>
        <w:rPr>
          <w:rFonts w:hint="eastAsia" w:ascii="仿宋_GB2312" w:hAnsi="仿宋_GB2312" w:eastAsia="仿宋_GB2312" w:cs="仿宋_GB2312"/>
          <w:sz w:val="32"/>
          <w:szCs w:val="32"/>
        </w:rPr>
      </w:pPr>
      <w:r>
        <w:rPr>
          <w:rFonts w:hint="eastAsia" w:ascii="Times New Roman" w:hAnsi="Times New Roman" w:eastAsia="黑体" w:cs="Times New Roman"/>
          <w:sz w:val="32"/>
          <w:szCs w:val="32"/>
          <w:lang w:val="en-US" w:eastAsia="zh-CN"/>
        </w:rPr>
        <w:t>三、</w:t>
      </w:r>
      <w:r>
        <w:rPr>
          <w:rFonts w:hint="eastAsia" w:ascii="Times New Roman" w:hAnsi="Times New Roman" w:eastAsia="黑体" w:cs="Times New Roman"/>
          <w:sz w:val="32"/>
          <w:szCs w:val="32"/>
        </w:rPr>
        <w:t>违法事实及相关证据</w:t>
      </w:r>
    </w:p>
    <w:p>
      <w:pPr>
        <w:pStyle w:val="12"/>
        <w:keepNext w:val="0"/>
        <w:keepLines w:val="0"/>
        <w:pageBreakBefore w:val="0"/>
        <w:kinsoku/>
        <w:wordWrap/>
        <w:topLinePunct w:val="0"/>
        <w:bidi w:val="0"/>
        <w:snapToGrid/>
        <w:spacing w:after="0" w:line="578" w:lineRule="exact"/>
        <w:ind w:firstLine="640" w:firstLineChars="200"/>
        <w:outlineLvl w:val="9"/>
        <w:rPr>
          <w:rFonts w:hint="eastAsia" w:ascii="Times New Roman" w:hAnsi="Times New Roman" w:eastAsia="仿宋_GB2312" w:cs="Times New Roman"/>
          <w:color w:val="000000"/>
          <w:sz w:val="32"/>
          <w:szCs w:val="32"/>
        </w:rPr>
      </w:pPr>
      <w:r>
        <w:rPr>
          <w:rFonts w:hint="eastAsia" w:ascii="仿宋_GB2312" w:hAnsi="仿宋_GB2312" w:eastAsia="仿宋_GB2312" w:cs="仿宋_GB2312"/>
          <w:sz w:val="32"/>
          <w:szCs w:val="32"/>
          <w:lang w:eastAsia="zh-CN"/>
        </w:rPr>
        <w:t>经查</w:t>
      </w:r>
      <w:r>
        <w:rPr>
          <w:rFonts w:hint="eastAsia" w:ascii="仿宋_GB2312" w:hAnsi="仿宋_GB2312" w:eastAsia="仿宋_GB2312" w:cs="仿宋_GB2312"/>
          <w:color w:val="000000"/>
          <w:sz w:val="32"/>
          <w:szCs w:val="32"/>
        </w:rPr>
        <w:t>，</w:t>
      </w:r>
      <w:r>
        <w:rPr>
          <w:rFonts w:hint="eastAsia" w:ascii="Times New Roman" w:hAnsi="Times New Roman" w:eastAsia="仿宋_GB2312" w:cs="Times New Roman"/>
          <w:color w:val="000000"/>
          <w:sz w:val="32"/>
          <w:szCs w:val="32"/>
        </w:rPr>
        <w:t>201</w:t>
      </w:r>
      <w:r>
        <w:rPr>
          <w:rFonts w:hint="eastAsia" w:ascii="Times New Roman" w:hAnsi="Times New Roman" w:eastAsia="仿宋_GB2312" w:cs="Times New Roman"/>
          <w:color w:val="000000"/>
          <w:sz w:val="32"/>
          <w:szCs w:val="32"/>
          <w:lang w:val="en-US" w:eastAsia="zh-CN"/>
        </w:rPr>
        <w:t>4</w:t>
      </w:r>
      <w:r>
        <w:rPr>
          <w:rFonts w:hint="eastAsia" w:ascii="Times New Roman" w:hAnsi="Times New Roman" w:eastAsia="仿宋_GB2312" w:cs="Times New Roman"/>
          <w:color w:val="000000"/>
          <w:sz w:val="32"/>
          <w:szCs w:val="32"/>
        </w:rPr>
        <w:t>年至20</w:t>
      </w:r>
      <w:r>
        <w:rPr>
          <w:rFonts w:hint="eastAsia" w:ascii="Times New Roman" w:hAnsi="Times New Roman" w:eastAsia="仿宋_GB2312" w:cs="Times New Roman"/>
          <w:color w:val="000000"/>
          <w:sz w:val="32"/>
          <w:szCs w:val="32"/>
          <w:lang w:val="en-US" w:eastAsia="zh-CN"/>
        </w:rPr>
        <w:t>21</w:t>
      </w:r>
      <w:r>
        <w:rPr>
          <w:rFonts w:hint="eastAsia" w:ascii="Times New Roman" w:hAnsi="Times New Roman" w:eastAsia="仿宋_GB2312" w:cs="Times New Roman"/>
          <w:color w:val="000000"/>
          <w:sz w:val="32"/>
          <w:szCs w:val="32"/>
        </w:rPr>
        <w:t>年当事人</w:t>
      </w:r>
      <w:r>
        <w:rPr>
          <w:rFonts w:ascii="Times New Roman" w:hAnsi="Times New Roman" w:eastAsia="仿宋_GB2312" w:cs="Times New Roman"/>
          <w:color w:val="000000"/>
          <w:sz w:val="32"/>
          <w:szCs w:val="32"/>
        </w:rPr>
        <w:t>在</w:t>
      </w:r>
      <w:r>
        <w:rPr>
          <w:rFonts w:hint="eastAsia" w:ascii="Times New Roman" w:hAnsi="Times New Roman" w:eastAsia="仿宋_GB2312" w:cs="Times New Roman"/>
          <w:color w:val="000000"/>
          <w:sz w:val="32"/>
          <w:szCs w:val="32"/>
        </w:rPr>
        <w:t>全国范围内</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不含福建省和台湾地区，下同</w:t>
      </w:r>
      <w:r>
        <w:rPr>
          <w:rFonts w:hint="eastAsia" w:ascii="仿宋_GB2312" w:hAnsi="仿宋_GB2312" w:eastAsia="仿宋_GB2312" w:cs="仿宋_GB2312"/>
          <w:sz w:val="32"/>
          <w:szCs w:val="32"/>
          <w:lang w:eastAsia="zh-CN"/>
        </w:rPr>
        <w:t>）</w:t>
      </w:r>
      <w:r>
        <w:rPr>
          <w:rFonts w:hint="eastAsia" w:ascii="Times New Roman" w:hAnsi="Times New Roman" w:eastAsia="仿宋_GB2312" w:cs="Times New Roman"/>
          <w:color w:val="000000"/>
          <w:sz w:val="32"/>
          <w:szCs w:val="32"/>
        </w:rPr>
        <w:t>与</w:t>
      </w:r>
      <w:r>
        <w:rPr>
          <w:rFonts w:hint="eastAsia" w:ascii="Times New Roman" w:hAnsi="Times New Roman" w:eastAsia="仿宋_GB2312" w:cs="Times New Roman"/>
          <w:color w:val="000000"/>
          <w:sz w:val="32"/>
          <w:szCs w:val="32"/>
          <w:lang w:val="en-US" w:eastAsia="zh-CN"/>
        </w:rPr>
        <w:t>其</w:t>
      </w:r>
      <w:r>
        <w:rPr>
          <w:rFonts w:hint="eastAsia" w:eastAsia="仿宋_GB2312" w:cs="Times New Roman"/>
          <w:color w:val="000000"/>
          <w:sz w:val="32"/>
          <w:szCs w:val="32"/>
          <w:lang w:val="en-US" w:eastAsia="zh-CN"/>
        </w:rPr>
        <w:t>交易相对人</w:t>
      </w:r>
      <w:r>
        <w:rPr>
          <w:rFonts w:hint="eastAsia" w:ascii="Times New Roman" w:hAnsi="Times New Roman" w:eastAsia="仿宋_GB2312" w:cs="Times New Roman"/>
          <w:color w:val="000000"/>
          <w:sz w:val="32"/>
          <w:szCs w:val="32"/>
        </w:rPr>
        <w:t>达成并实施</w:t>
      </w:r>
      <w:r>
        <w:rPr>
          <w:rFonts w:hint="eastAsia" w:ascii="Times New Roman" w:hAnsi="仿宋_GB2312" w:eastAsia="仿宋_GB2312" w:cs="Times New Roman"/>
          <w:sz w:val="32"/>
          <w:szCs w:val="32"/>
          <w:lang w:eastAsia="zh-CN"/>
        </w:rPr>
        <w:t>固定</w:t>
      </w:r>
      <w:r>
        <w:rPr>
          <w:rFonts w:hint="eastAsia" w:ascii="Times New Roman" w:hAnsi="仿宋_GB2312" w:eastAsia="仿宋_GB2312" w:cs="Times New Roman"/>
          <w:sz w:val="32"/>
          <w:szCs w:val="32"/>
          <w:lang w:val="en-US" w:eastAsia="zh-CN"/>
        </w:rPr>
        <w:t>课程</w:t>
      </w:r>
      <w:r>
        <w:rPr>
          <w:rFonts w:ascii="Times New Roman" w:hAnsi="仿宋_GB2312" w:eastAsia="仿宋_GB2312" w:cs="Times New Roman"/>
          <w:sz w:val="32"/>
          <w:szCs w:val="32"/>
        </w:rPr>
        <w:t>价格</w:t>
      </w:r>
      <w:r>
        <w:rPr>
          <w:rFonts w:hint="eastAsia" w:ascii="Times New Roman" w:hAnsi="Times New Roman" w:eastAsia="仿宋_GB2312" w:cs="Times New Roman"/>
          <w:color w:val="000000"/>
          <w:sz w:val="32"/>
          <w:szCs w:val="32"/>
        </w:rPr>
        <w:t>的垄断协议，排除、限制了市场竞争，损害了消费者利益。</w:t>
      </w:r>
    </w:p>
    <w:p>
      <w:pPr>
        <w:keepNext w:val="0"/>
        <w:keepLines w:val="0"/>
        <w:pageBreakBefore w:val="0"/>
        <w:kinsoku/>
        <w:wordWrap/>
        <w:topLinePunct w:val="0"/>
        <w:bidi w:val="0"/>
        <w:snapToGrid/>
        <w:spacing w:line="578" w:lineRule="exact"/>
        <w:ind w:firstLine="643" w:firstLineChars="200"/>
        <w:outlineLvl w:val="9"/>
        <w:rPr>
          <w:rFonts w:hint="eastAsia" w:ascii="楷体" w:hAnsi="楷体" w:eastAsia="楷体"/>
          <w:b/>
          <w:bCs/>
          <w:sz w:val="32"/>
          <w:szCs w:val="32"/>
        </w:rPr>
      </w:pPr>
      <w:r>
        <w:rPr>
          <w:rFonts w:hint="eastAsia" w:ascii="楷体_GB2312" w:hAnsi="Cambria" w:eastAsia="楷体_GB2312" w:cs="Times New Roman"/>
          <w:b/>
          <w:sz w:val="32"/>
          <w:szCs w:val="32"/>
        </w:rPr>
        <w:t>（一）</w:t>
      </w:r>
      <w:r>
        <w:rPr>
          <w:rFonts w:hint="eastAsia" w:ascii="楷体" w:hAnsi="楷体" w:eastAsia="楷体"/>
          <w:b/>
          <w:bCs/>
          <w:sz w:val="32"/>
          <w:szCs w:val="32"/>
        </w:rPr>
        <w:t>当事人与交易相对人达成</w:t>
      </w:r>
      <w:r>
        <w:rPr>
          <w:rFonts w:hint="eastAsia" w:ascii="楷体" w:hAnsi="楷体" w:eastAsia="楷体"/>
          <w:b/>
          <w:bCs/>
          <w:sz w:val="32"/>
          <w:szCs w:val="32"/>
          <w:lang w:val="en-US" w:eastAsia="zh-CN"/>
        </w:rPr>
        <w:t>固</w:t>
      </w:r>
      <w:r>
        <w:rPr>
          <w:rFonts w:hint="eastAsia" w:ascii="楷体" w:hAnsi="楷体" w:eastAsia="楷体"/>
          <w:b/>
          <w:bCs/>
          <w:sz w:val="32"/>
          <w:szCs w:val="32"/>
        </w:rPr>
        <w:t>定</w:t>
      </w:r>
      <w:r>
        <w:rPr>
          <w:rFonts w:hint="eastAsia" w:ascii="楷体" w:hAnsi="楷体" w:eastAsia="楷体"/>
          <w:b/>
          <w:bCs/>
          <w:sz w:val="32"/>
          <w:szCs w:val="32"/>
          <w:lang w:val="en-US" w:eastAsia="zh-CN"/>
        </w:rPr>
        <w:t>转售</w:t>
      </w:r>
      <w:r>
        <w:rPr>
          <w:rFonts w:hint="eastAsia" w:ascii="楷体" w:hAnsi="楷体" w:eastAsia="楷体"/>
          <w:b/>
          <w:bCs/>
          <w:sz w:val="32"/>
          <w:szCs w:val="32"/>
        </w:rPr>
        <w:t>价格的垄断协议</w:t>
      </w:r>
    </w:p>
    <w:p>
      <w:pPr>
        <w:keepNext w:val="0"/>
        <w:keepLines w:val="0"/>
        <w:pageBreakBefore w:val="0"/>
        <w:numPr>
          <w:ilvl w:val="-1"/>
          <w:numId w:val="0"/>
        </w:numPr>
        <w:kinsoku/>
        <w:wordWrap/>
        <w:topLinePunct w:val="0"/>
        <w:bidi w:val="0"/>
        <w:snapToGrid/>
        <w:spacing w:line="578" w:lineRule="exact"/>
        <w:ind w:firstLine="640" w:firstLineChars="200"/>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当事人</w:t>
      </w:r>
      <w:r>
        <w:rPr>
          <w:rFonts w:hint="eastAsia" w:ascii="仿宋_GB2312" w:hAnsi="仿宋_GB2312" w:eastAsia="仿宋_GB2312" w:cs="仿宋_GB2312"/>
          <w:sz w:val="32"/>
          <w:szCs w:val="32"/>
        </w:rPr>
        <w:t>是美国</w:t>
      </w:r>
      <w:r>
        <w:rPr>
          <w:rFonts w:hint="eastAsia" w:ascii="仿宋_GB2312" w:hAnsi="仿宋_GB2312" w:eastAsia="仿宋_GB2312" w:cs="仿宋_GB2312"/>
          <w:sz w:val="32"/>
          <w:szCs w:val="32"/>
          <w:lang w:val="en-US" w:eastAsia="zh-CN"/>
        </w:rPr>
        <w:t>芝麻街英语</w:t>
      </w:r>
      <w:r>
        <w:rPr>
          <w:rFonts w:hint="eastAsia" w:ascii="仿宋_GB2312" w:hAnsi="仿宋_GB2312" w:eastAsia="仿宋_GB2312" w:cs="仿宋_GB2312"/>
          <w:sz w:val="32"/>
          <w:szCs w:val="32"/>
        </w:rPr>
        <w:t>的被许可人，拥有该品牌在中国的专有使用权和分许可权。</w:t>
      </w:r>
      <w:r>
        <w:rPr>
          <w:rFonts w:hint="eastAsia" w:ascii="仿宋_GB2312" w:hAnsi="仿宋_GB2312" w:eastAsia="仿宋_GB2312" w:cs="仿宋_GB2312"/>
          <w:sz w:val="32"/>
          <w:szCs w:val="32"/>
          <w:lang w:val="en-US" w:eastAsia="zh-CN"/>
        </w:rPr>
        <w:t>当事人</w:t>
      </w:r>
      <w:r>
        <w:rPr>
          <w:rFonts w:hint="eastAsia" w:ascii="仿宋_GB2312" w:hAnsi="仿宋_GB2312" w:eastAsia="仿宋_GB2312" w:cs="仿宋_GB2312"/>
          <w:sz w:val="32"/>
          <w:szCs w:val="32"/>
        </w:rPr>
        <w:t>于2013年1月22日注册成立，主要从事校外儿童英语培训特许经营活动</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当事人</w:t>
      </w:r>
      <w:r>
        <w:rPr>
          <w:rFonts w:hint="eastAsia" w:ascii="仿宋_GB2312" w:hAnsi="仿宋_GB2312" w:eastAsia="仿宋_GB2312" w:cs="仿宋_GB2312"/>
          <w:sz w:val="32"/>
          <w:szCs w:val="32"/>
        </w:rPr>
        <w:t>向加盟商收取许可使用费、履约保证金、管理费等费用，</w:t>
      </w:r>
      <w:r>
        <w:rPr>
          <w:rFonts w:hint="eastAsia" w:ascii="仿宋_GB2312" w:hAnsi="仿宋_GB2312" w:eastAsia="仿宋_GB2312" w:cs="仿宋_GB2312"/>
          <w:color w:val="auto"/>
          <w:sz w:val="32"/>
          <w:szCs w:val="32"/>
          <w:lang w:val="en-US" w:eastAsia="zh-CN"/>
        </w:rPr>
        <w:t>授权加盟商转售其课程资源开展培训活动，</w:t>
      </w:r>
      <w:r>
        <w:rPr>
          <w:rFonts w:hint="eastAsia" w:ascii="仿宋_GB2312" w:hAnsi="仿宋_GB2312" w:eastAsia="仿宋_GB2312" w:cs="仿宋_GB2312"/>
          <w:color w:val="auto"/>
          <w:sz w:val="32"/>
          <w:szCs w:val="32"/>
        </w:rPr>
        <w:t>为</w:t>
      </w:r>
      <w:r>
        <w:rPr>
          <w:rFonts w:hint="eastAsia" w:ascii="仿宋_GB2312" w:hAnsi="仿宋_GB2312" w:eastAsia="仿宋_GB2312" w:cs="仿宋_GB2312"/>
          <w:color w:val="auto"/>
          <w:sz w:val="32"/>
          <w:szCs w:val="32"/>
          <w:lang w:val="en-US" w:eastAsia="zh-CN"/>
        </w:rPr>
        <w:t>加盟商</w:t>
      </w:r>
      <w:r>
        <w:rPr>
          <w:rFonts w:hint="eastAsia" w:ascii="仿宋_GB2312" w:hAnsi="仿宋_GB2312" w:eastAsia="仿宋_GB2312" w:cs="仿宋_GB2312"/>
          <w:color w:val="auto"/>
          <w:sz w:val="32"/>
          <w:szCs w:val="32"/>
        </w:rPr>
        <w:t>提供管理咨询、</w:t>
      </w:r>
      <w:r>
        <w:rPr>
          <w:rFonts w:hint="eastAsia" w:ascii="仿宋_GB2312" w:hAnsi="仿宋_GB2312" w:eastAsia="仿宋_GB2312" w:cs="仿宋_GB2312"/>
          <w:color w:val="auto"/>
          <w:sz w:val="32"/>
          <w:szCs w:val="32"/>
          <w:lang w:val="en-US" w:eastAsia="zh-CN"/>
        </w:rPr>
        <w:t>教学</w:t>
      </w:r>
      <w:r>
        <w:rPr>
          <w:rFonts w:hint="eastAsia" w:ascii="仿宋_GB2312" w:hAnsi="仿宋_GB2312" w:eastAsia="仿宋_GB2312" w:cs="仿宋_GB2312"/>
          <w:color w:val="auto"/>
          <w:sz w:val="32"/>
          <w:szCs w:val="32"/>
        </w:rPr>
        <w:t>材料、</w:t>
      </w:r>
      <w:r>
        <w:rPr>
          <w:rFonts w:hint="eastAsia" w:ascii="仿宋_GB2312" w:hAnsi="仿宋_GB2312" w:eastAsia="仿宋_GB2312" w:cs="仿宋_GB2312"/>
          <w:color w:val="auto"/>
          <w:sz w:val="32"/>
          <w:szCs w:val="32"/>
          <w:lang w:val="en-US" w:eastAsia="zh-CN"/>
        </w:rPr>
        <w:t>人员</w:t>
      </w:r>
      <w:r>
        <w:rPr>
          <w:rFonts w:hint="eastAsia" w:ascii="仿宋_GB2312" w:hAnsi="仿宋_GB2312" w:eastAsia="仿宋_GB2312" w:cs="仿宋_GB2312"/>
          <w:color w:val="auto"/>
          <w:sz w:val="32"/>
          <w:szCs w:val="32"/>
        </w:rPr>
        <w:t>培训</w:t>
      </w:r>
      <w:r>
        <w:rPr>
          <w:rFonts w:hint="eastAsia" w:ascii="仿宋_GB2312" w:hAnsi="仿宋_GB2312" w:eastAsia="仿宋_GB2312" w:cs="仿宋_GB2312"/>
          <w:sz w:val="32"/>
          <w:szCs w:val="32"/>
        </w:rPr>
        <w:t>等支持服务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自2014年开始运营至今，</w:t>
      </w:r>
      <w:r>
        <w:rPr>
          <w:rFonts w:hint="eastAsia" w:ascii="仿宋_GB2312" w:hAnsi="仿宋_GB2312" w:eastAsia="仿宋_GB2312" w:cs="仿宋_GB2312"/>
          <w:sz w:val="32"/>
          <w:szCs w:val="32"/>
          <w:lang w:val="en-US" w:eastAsia="zh-CN"/>
        </w:rPr>
        <w:t>当事人</w:t>
      </w:r>
      <w:r>
        <w:rPr>
          <w:rFonts w:hint="eastAsia" w:ascii="仿宋_GB2312" w:hAnsi="仿宋_GB2312" w:eastAsia="仿宋_GB2312" w:cs="仿宋_GB2312"/>
          <w:sz w:val="32"/>
          <w:szCs w:val="32"/>
        </w:rPr>
        <w:t>累计签约455家加盟商。</w:t>
      </w:r>
    </w:p>
    <w:p>
      <w:pPr>
        <w:keepNext w:val="0"/>
        <w:keepLines w:val="0"/>
        <w:pageBreakBefore w:val="0"/>
        <w:kinsoku/>
        <w:wordWrap/>
        <w:topLinePunct w:val="0"/>
        <w:bidi w:val="0"/>
        <w:snapToGrid/>
        <w:spacing w:line="578" w:lineRule="exact"/>
        <w:ind w:firstLine="640" w:firstLineChars="200"/>
        <w:outlineLvl w:val="9"/>
        <w:rPr>
          <w:rFonts w:ascii="Times New Roman" w:hAnsi="Times New Roman" w:eastAsia="仿宋_GB2312" w:cs="Times New Roman"/>
          <w:sz w:val="32"/>
          <w:szCs w:val="36"/>
        </w:rPr>
      </w:pPr>
      <w:r>
        <w:rPr>
          <w:rFonts w:ascii="Times New Roman" w:eastAsia="仿宋_GB2312" w:cs="Times New Roman"/>
          <w:sz w:val="32"/>
          <w:szCs w:val="36"/>
        </w:rPr>
        <w:t>当事人</w:t>
      </w:r>
      <w:r>
        <w:rPr>
          <w:rFonts w:hint="eastAsia" w:ascii="Times New Roman" w:eastAsia="仿宋_GB2312" w:cs="Times New Roman"/>
          <w:sz w:val="32"/>
          <w:szCs w:val="36"/>
          <w:lang w:eastAsia="zh-CN"/>
        </w:rPr>
        <w:t>的</w:t>
      </w:r>
      <w:r>
        <w:rPr>
          <w:rFonts w:hint="eastAsia" w:ascii="Times New Roman" w:eastAsia="仿宋_GB2312" w:cs="Times New Roman"/>
          <w:sz w:val="32"/>
          <w:szCs w:val="36"/>
          <w:lang w:val="en-US" w:eastAsia="zh-CN"/>
        </w:rPr>
        <w:t>课程资源除小部分直营销售外，大部分通过加盟商</w:t>
      </w:r>
      <w:r>
        <w:rPr>
          <w:rFonts w:ascii="Times New Roman" w:eastAsia="仿宋_GB2312" w:cs="Times New Roman"/>
          <w:sz w:val="32"/>
          <w:szCs w:val="36"/>
        </w:rPr>
        <w:t>销售至终端消费者，当事人与</w:t>
      </w:r>
      <w:r>
        <w:rPr>
          <w:rFonts w:hint="eastAsia" w:ascii="Times New Roman" w:eastAsia="仿宋_GB2312" w:cs="Times New Roman"/>
          <w:sz w:val="32"/>
          <w:szCs w:val="36"/>
          <w:lang w:val="en-US" w:eastAsia="zh-CN"/>
        </w:rPr>
        <w:t>加盟商</w:t>
      </w:r>
      <w:r>
        <w:rPr>
          <w:rFonts w:ascii="Times New Roman" w:eastAsia="仿宋_GB2312" w:cs="Times New Roman"/>
          <w:sz w:val="32"/>
          <w:szCs w:val="36"/>
        </w:rPr>
        <w:t>之间存在纵向上下游关系。</w:t>
      </w:r>
      <w:r>
        <w:rPr>
          <w:rFonts w:ascii="Times New Roman" w:eastAsia="仿宋_GB2312" w:cs="Times New Roman"/>
          <w:sz w:val="32"/>
          <w:szCs w:val="32"/>
        </w:rPr>
        <w:t>本案中经营者</w:t>
      </w:r>
      <w:r>
        <w:rPr>
          <w:rFonts w:hint="eastAsia" w:ascii="Times New Roman" w:eastAsia="仿宋_GB2312" w:cs="Times New Roman"/>
          <w:sz w:val="32"/>
          <w:szCs w:val="32"/>
          <w:lang w:val="en-US" w:eastAsia="zh-CN"/>
        </w:rPr>
        <w:t>为</w:t>
      </w:r>
      <w:r>
        <w:rPr>
          <w:rFonts w:ascii="Times New Roman" w:eastAsia="仿宋_GB2312" w:cs="Times New Roman"/>
          <w:sz w:val="32"/>
          <w:szCs w:val="32"/>
        </w:rPr>
        <w:t>当事人，交易相对人</w:t>
      </w:r>
      <w:r>
        <w:rPr>
          <w:rFonts w:hint="eastAsia" w:ascii="Times New Roman" w:eastAsia="仿宋_GB2312" w:cs="Times New Roman"/>
          <w:sz w:val="32"/>
          <w:szCs w:val="32"/>
          <w:lang w:val="en-US" w:eastAsia="zh-CN"/>
        </w:rPr>
        <w:t>为其加盟商</w:t>
      </w:r>
      <w:r>
        <w:rPr>
          <w:rFonts w:ascii="Times New Roman" w:eastAsia="仿宋_GB2312" w:cs="Times New Roman"/>
          <w:sz w:val="32"/>
          <w:szCs w:val="32"/>
        </w:rPr>
        <w:t>。</w:t>
      </w:r>
    </w:p>
    <w:p>
      <w:pPr>
        <w:keepNext w:val="0"/>
        <w:keepLines w:val="0"/>
        <w:pageBreakBefore w:val="0"/>
        <w:kinsoku/>
        <w:wordWrap/>
        <w:topLinePunct w:val="0"/>
        <w:bidi w:val="0"/>
        <w:snapToGrid/>
        <w:spacing w:line="578" w:lineRule="exact"/>
        <w:ind w:firstLine="640" w:firstLineChars="200"/>
        <w:outlineLvl w:val="9"/>
        <w:rPr>
          <w:rFonts w:hint="eastAsia" w:eastAsia="仿宋_GB2312"/>
          <w:sz w:val="32"/>
          <w:szCs w:val="32"/>
        </w:rPr>
      </w:pPr>
      <w:r>
        <w:rPr>
          <w:rFonts w:ascii="Times New Roman" w:hAnsi="Times New Roman" w:eastAsia="仿宋_GB2312" w:cs="Times New Roman"/>
          <w:sz w:val="32"/>
          <w:szCs w:val="32"/>
        </w:rPr>
        <w:t>201</w:t>
      </w:r>
      <w:r>
        <w:rPr>
          <w:rFonts w:hint="eastAsia" w:ascii="Times New Roman" w:hAnsi="Times New Roman" w:eastAsia="仿宋_GB2312" w:cs="Times New Roman"/>
          <w:sz w:val="32"/>
          <w:szCs w:val="32"/>
          <w:lang w:val="en-US" w:eastAsia="zh-CN"/>
        </w:rPr>
        <w:t>4</w:t>
      </w:r>
      <w:r>
        <w:rPr>
          <w:rFonts w:ascii="Times New Roman" w:eastAsia="仿宋_GB2312" w:cs="Times New Roman"/>
          <w:sz w:val="32"/>
          <w:szCs w:val="32"/>
        </w:rPr>
        <w:t>年至</w:t>
      </w:r>
      <w:r>
        <w:rPr>
          <w:rFonts w:ascii="Times New Roman" w:hAnsi="Times New Roman" w:eastAsia="仿宋_GB2312" w:cs="Times New Roman"/>
          <w:sz w:val="32"/>
          <w:szCs w:val="32"/>
        </w:rPr>
        <w:t>20</w:t>
      </w:r>
      <w:r>
        <w:rPr>
          <w:rFonts w:hint="eastAsia" w:ascii="Times New Roman" w:hAnsi="Times New Roman" w:eastAsia="仿宋_GB2312" w:cs="Times New Roman"/>
          <w:sz w:val="32"/>
          <w:szCs w:val="32"/>
          <w:lang w:val="en-US" w:eastAsia="zh-CN"/>
        </w:rPr>
        <w:t>21</w:t>
      </w:r>
      <w:r>
        <w:rPr>
          <w:rFonts w:ascii="Times New Roman" w:eastAsia="仿宋_GB2312" w:cs="Times New Roman"/>
          <w:sz w:val="32"/>
          <w:szCs w:val="32"/>
        </w:rPr>
        <w:t>年</w:t>
      </w:r>
      <w:r>
        <w:rPr>
          <w:rFonts w:hint="eastAsia" w:ascii="Times New Roman" w:eastAsia="仿宋_GB2312" w:cs="Times New Roman"/>
          <w:sz w:val="32"/>
          <w:szCs w:val="32"/>
          <w:lang w:eastAsia="zh-CN"/>
        </w:rPr>
        <w:t>，</w:t>
      </w:r>
      <w:r>
        <w:rPr>
          <w:rFonts w:ascii="Times New Roman" w:eastAsia="仿宋_GB2312" w:cs="Times New Roman"/>
          <w:sz w:val="32"/>
          <w:szCs w:val="32"/>
        </w:rPr>
        <w:t>当事人与交易相对人</w:t>
      </w:r>
      <w:r>
        <w:rPr>
          <w:rFonts w:hint="eastAsia" w:ascii="Times New Roman" w:eastAsia="仿宋_GB2312" w:cs="Times New Roman"/>
          <w:sz w:val="32"/>
          <w:szCs w:val="32"/>
        </w:rPr>
        <w:t>通过签署合作协议、</w:t>
      </w:r>
      <w:r>
        <w:rPr>
          <w:rFonts w:hint="eastAsia" w:ascii="Times New Roman" w:eastAsia="仿宋_GB2312" w:cs="Times New Roman"/>
          <w:sz w:val="32"/>
          <w:szCs w:val="32"/>
          <w:lang w:val="en-US" w:eastAsia="zh-CN"/>
        </w:rPr>
        <w:t>发布规章制度、</w:t>
      </w:r>
      <w:r>
        <w:rPr>
          <w:rFonts w:hint="eastAsia" w:ascii="Times New Roman" w:eastAsia="仿宋_GB2312" w:cs="Times New Roman"/>
          <w:sz w:val="32"/>
          <w:szCs w:val="32"/>
        </w:rPr>
        <w:t>下发</w:t>
      </w:r>
      <w:r>
        <w:rPr>
          <w:rFonts w:hint="eastAsia" w:ascii="Times New Roman" w:eastAsia="仿宋_GB2312" w:cs="Times New Roman"/>
          <w:sz w:val="32"/>
          <w:szCs w:val="32"/>
          <w:lang w:val="en-US" w:eastAsia="zh-CN"/>
        </w:rPr>
        <w:t>区域定价及优惠方案</w:t>
      </w:r>
      <w:r>
        <w:rPr>
          <w:rFonts w:hint="eastAsia" w:ascii="Times New Roman" w:eastAsia="仿宋_GB2312" w:cs="Times New Roman"/>
          <w:sz w:val="32"/>
          <w:szCs w:val="32"/>
        </w:rPr>
        <w:t>、</w:t>
      </w:r>
      <w:r>
        <w:rPr>
          <w:rFonts w:hint="eastAsia" w:ascii="Times New Roman" w:eastAsia="仿宋_GB2312" w:cs="Times New Roman"/>
          <w:sz w:val="32"/>
          <w:szCs w:val="32"/>
          <w:lang w:val="en-US" w:eastAsia="zh-CN"/>
        </w:rPr>
        <w:t>统一客服答复</w:t>
      </w:r>
      <w:r>
        <w:rPr>
          <w:rFonts w:hint="eastAsia" w:ascii="Times New Roman" w:eastAsia="仿宋_GB2312" w:cs="Times New Roman"/>
          <w:sz w:val="32"/>
          <w:szCs w:val="32"/>
        </w:rPr>
        <w:t>等方式达成</w:t>
      </w:r>
      <w:r>
        <w:rPr>
          <w:rFonts w:hint="eastAsia" w:ascii="Times New Roman" w:eastAsia="仿宋_GB2312" w:cs="Times New Roman"/>
          <w:sz w:val="32"/>
          <w:szCs w:val="32"/>
          <w:lang w:val="en-US" w:eastAsia="zh-CN"/>
        </w:rPr>
        <w:t>并实施</w:t>
      </w:r>
      <w:r>
        <w:rPr>
          <w:rFonts w:hint="eastAsia" w:ascii="Times New Roman" w:eastAsia="仿宋_GB2312" w:cs="Times New Roman"/>
          <w:sz w:val="32"/>
          <w:szCs w:val="32"/>
          <w:lang w:eastAsia="zh-CN"/>
        </w:rPr>
        <w:t>固定</w:t>
      </w:r>
      <w:r>
        <w:rPr>
          <w:rFonts w:hint="eastAsia" w:ascii="Times New Roman" w:eastAsia="仿宋_GB2312" w:cs="Times New Roman"/>
          <w:sz w:val="32"/>
          <w:szCs w:val="32"/>
          <w:lang w:val="en-US" w:eastAsia="zh-CN"/>
        </w:rPr>
        <w:t>课程</w:t>
      </w:r>
      <w:r>
        <w:rPr>
          <w:rFonts w:hint="eastAsia" w:ascii="Times New Roman" w:eastAsia="仿宋_GB2312" w:cs="Times New Roman"/>
          <w:sz w:val="32"/>
          <w:szCs w:val="32"/>
        </w:rPr>
        <w:t>价格的垄断协议</w:t>
      </w:r>
      <w:r>
        <w:rPr>
          <w:rFonts w:hint="eastAsia" w:ascii="Times New Roman" w:eastAsia="仿宋_GB2312" w:cs="Times New Roman"/>
          <w:sz w:val="32"/>
          <w:szCs w:val="32"/>
          <w:lang w:eastAsia="zh-CN"/>
        </w:rPr>
        <w:t>。</w:t>
      </w:r>
      <w:r>
        <w:rPr>
          <w:rFonts w:hint="eastAsia" w:eastAsia="仿宋_GB2312"/>
          <w:sz w:val="32"/>
          <w:szCs w:val="32"/>
        </w:rPr>
        <w:t>具体</w:t>
      </w:r>
      <w:r>
        <w:rPr>
          <w:rFonts w:hint="eastAsia" w:eastAsia="仿宋_GB2312"/>
          <w:sz w:val="32"/>
          <w:szCs w:val="32"/>
          <w:lang w:val="en-US" w:eastAsia="zh-CN"/>
        </w:rPr>
        <w:t>行为</w:t>
      </w:r>
      <w:r>
        <w:rPr>
          <w:rFonts w:hint="eastAsia" w:eastAsia="仿宋_GB2312"/>
          <w:sz w:val="32"/>
          <w:szCs w:val="32"/>
        </w:rPr>
        <w:t>如下：</w:t>
      </w:r>
    </w:p>
    <w:p>
      <w:pPr>
        <w:keepNext w:val="0"/>
        <w:keepLines w:val="0"/>
        <w:pageBreakBefore w:val="0"/>
        <w:kinsoku/>
        <w:wordWrap/>
        <w:topLinePunct w:val="0"/>
        <w:bidi w:val="0"/>
        <w:snapToGrid/>
        <w:spacing w:line="578" w:lineRule="exact"/>
        <w:ind w:firstLine="643" w:firstLineChars="200"/>
        <w:outlineLvl w:val="9"/>
        <w:rPr>
          <w:rFonts w:hint="eastAsia" w:ascii="Times New Roman" w:hAnsi="Times New Roman" w:eastAsia="楷体_GB2312" w:cs="Times New Roman"/>
          <w:b/>
          <w:bCs/>
          <w:kern w:val="0"/>
          <w:sz w:val="32"/>
          <w:szCs w:val="24"/>
        </w:rPr>
      </w:pPr>
      <w:r>
        <w:rPr>
          <w:rFonts w:hint="eastAsia" w:ascii="仿宋_GB2312" w:hAnsi="仿宋_GB2312" w:eastAsia="仿宋_GB2312" w:cs="仿宋_GB2312"/>
          <w:b/>
          <w:bCs/>
          <w:kern w:val="0"/>
          <w:sz w:val="32"/>
          <w:szCs w:val="24"/>
        </w:rPr>
        <w:t>1.</w:t>
      </w:r>
      <w:r>
        <w:rPr>
          <w:rFonts w:hint="eastAsia" w:ascii="仿宋_GB2312" w:hAnsi="仿宋_GB2312" w:eastAsia="仿宋_GB2312" w:cs="仿宋_GB2312"/>
          <w:b/>
          <w:bCs/>
          <w:kern w:val="0"/>
          <w:sz w:val="32"/>
          <w:szCs w:val="24"/>
          <w:lang w:val="en-US" w:eastAsia="zh-CN"/>
        </w:rPr>
        <w:t>合作</w:t>
      </w:r>
      <w:r>
        <w:rPr>
          <w:rFonts w:hint="eastAsia" w:ascii="仿宋_GB2312" w:hAnsi="仿宋_GB2312" w:eastAsia="仿宋_GB2312" w:cs="仿宋_GB2312"/>
          <w:b/>
          <w:bCs/>
          <w:kern w:val="0"/>
          <w:sz w:val="32"/>
          <w:szCs w:val="24"/>
        </w:rPr>
        <w:t>协议明文规定禁止加盟商价格调整</w:t>
      </w:r>
    </w:p>
    <w:p>
      <w:pPr>
        <w:pStyle w:val="12"/>
        <w:keepNext w:val="0"/>
        <w:keepLines w:val="0"/>
        <w:pageBreakBefore w:val="0"/>
        <w:kinsoku/>
        <w:wordWrap/>
        <w:topLinePunct w:val="0"/>
        <w:bidi w:val="0"/>
        <w:snapToGrid/>
        <w:spacing w:after="0" w:line="578" w:lineRule="exact"/>
        <w:ind w:firstLine="640" w:firstLineChars="200"/>
        <w:outlineLvl w:val="9"/>
        <w:rPr>
          <w:rFonts w:hint="eastAsia" w:ascii="Times New Roman" w:hAnsi="Times New Roman" w:eastAsia="仿宋_GB2312" w:cs="Times New Roman"/>
          <w:color w:val="000000"/>
          <w:sz w:val="32"/>
          <w:szCs w:val="32"/>
          <w:lang w:eastAsia="zh-CN"/>
        </w:rPr>
      </w:pPr>
      <w:r>
        <w:rPr>
          <w:rFonts w:hint="eastAsia" w:ascii="Times New Roman" w:hAnsi="Times New Roman" w:eastAsia="仿宋_GB2312" w:cs="Times New Roman"/>
          <w:color w:val="000000"/>
          <w:sz w:val="32"/>
          <w:szCs w:val="32"/>
          <w:lang w:val="en-US" w:eastAsia="zh-CN"/>
        </w:rPr>
        <w:t>当事人</w:t>
      </w:r>
      <w:r>
        <w:rPr>
          <w:rFonts w:hint="eastAsia" w:ascii="Times New Roman" w:hAnsi="Times New Roman" w:eastAsia="仿宋_GB2312" w:cs="Times New Roman"/>
          <w:color w:val="000000"/>
          <w:sz w:val="32"/>
          <w:szCs w:val="32"/>
        </w:rPr>
        <w:t>与其所有加盟商签署的《芝麻街英语培训中心合作协议》或《特许经营协议》均有“禁止乙方的价格调整行为”条款，规定“乙方不得调整甲方规定的由乙方向学生收取的各类费用价格。未经甲方允许，乙方不得对各类收费有任何形式的涨价、打折、优惠等行为</w:t>
      </w:r>
      <w:r>
        <w:rPr>
          <w:rFonts w:hint="eastAsia" w:eastAsia="仿宋_GB2312" w:cs="Times New Roman"/>
          <w:color w:val="000000"/>
          <w:sz w:val="32"/>
          <w:szCs w:val="32"/>
          <w:lang w:eastAsia="zh-CN"/>
        </w:rPr>
        <w:t>。</w:t>
      </w:r>
      <w:r>
        <w:rPr>
          <w:rFonts w:hint="eastAsia" w:ascii="Times New Roman" w:hAnsi="Times New Roman" w:eastAsia="仿宋_GB2312" w:cs="Times New Roman"/>
          <w:color w:val="000000"/>
          <w:sz w:val="32"/>
          <w:szCs w:val="32"/>
        </w:rPr>
        <w:t>”</w:t>
      </w:r>
    </w:p>
    <w:p>
      <w:pPr>
        <w:pStyle w:val="12"/>
        <w:keepNext w:val="0"/>
        <w:keepLines w:val="0"/>
        <w:pageBreakBefore w:val="0"/>
        <w:kinsoku/>
        <w:wordWrap/>
        <w:topLinePunct w:val="0"/>
        <w:bidi w:val="0"/>
        <w:snapToGrid/>
        <w:spacing w:after="0" w:line="578" w:lineRule="exact"/>
        <w:ind w:firstLine="640" w:firstLineChars="200"/>
        <w:outlineLvl w:val="9"/>
        <w:rPr>
          <w:rFonts w:hint="eastAsia"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部分协议还注明违约责任</w:t>
      </w:r>
      <w:r>
        <w:rPr>
          <w:rFonts w:hint="eastAsia" w:eastAsia="仿宋_GB2312" w:cs="Times New Roman"/>
          <w:color w:val="000000"/>
          <w:sz w:val="32"/>
          <w:szCs w:val="32"/>
          <w:lang w:eastAsia="zh-CN"/>
        </w:rPr>
        <w:t>：</w:t>
      </w:r>
      <w:r>
        <w:rPr>
          <w:rFonts w:hint="eastAsia" w:ascii="Times New Roman" w:hAnsi="Times New Roman" w:eastAsia="仿宋_GB2312" w:cs="Times New Roman"/>
          <w:color w:val="000000"/>
          <w:sz w:val="32"/>
          <w:szCs w:val="32"/>
        </w:rPr>
        <w:t>“如乙方违反本条约定，除立即停止违约行为外，每发生一起，乙方还应向甲方支付人民币二十万元违约金，甲方有权要求乙方停业整顿并停止对乙方的一切支持，包括停止产品供应、停止管理平台使用等，直至甲方单方解除本协议。”“如乙方违反本条约定，甲方有权停止一切支持，包括停止产品供应、停止管理平台使用等，直至甲方单方解除本协议，同时乙方应向甲方支付人民币五十万违约金，并且不予退还乙方之前所支付任何费用。”</w:t>
      </w:r>
    </w:p>
    <w:p>
      <w:pPr>
        <w:pStyle w:val="12"/>
        <w:keepNext w:val="0"/>
        <w:keepLines w:val="0"/>
        <w:pageBreakBefore w:val="0"/>
        <w:kinsoku/>
        <w:wordWrap/>
        <w:topLinePunct w:val="0"/>
        <w:bidi w:val="0"/>
        <w:snapToGrid/>
        <w:spacing w:after="0" w:line="578" w:lineRule="exact"/>
        <w:ind w:left="0" w:firstLine="643" w:firstLineChars="200"/>
        <w:outlineLvl w:val="9"/>
        <w:rPr>
          <w:rFonts w:hint="eastAsia" w:ascii="仿宋_GB2312" w:hAnsi="仿宋_GB2312" w:eastAsia="仿宋_GB2312" w:cs="仿宋_GB2312"/>
          <w:b/>
          <w:bCs/>
          <w:kern w:val="0"/>
          <w:sz w:val="32"/>
          <w:szCs w:val="24"/>
          <w:lang w:val="en-US"/>
        </w:rPr>
      </w:pPr>
      <w:r>
        <w:rPr>
          <w:rFonts w:hint="eastAsia" w:ascii="仿宋_GB2312" w:hAnsi="仿宋_GB2312" w:eastAsia="仿宋_GB2312" w:cs="仿宋_GB2312"/>
          <w:b/>
          <w:bCs/>
          <w:kern w:val="0"/>
          <w:sz w:val="32"/>
          <w:szCs w:val="24"/>
        </w:rPr>
        <w:t>2.制定并发布多项规章制度保障</w:t>
      </w:r>
      <w:r>
        <w:rPr>
          <w:rFonts w:hint="eastAsia" w:ascii="仿宋_GB2312" w:hAnsi="仿宋_GB2312" w:eastAsia="仿宋_GB2312" w:cs="仿宋_GB2312"/>
          <w:b/>
          <w:bCs/>
          <w:kern w:val="0"/>
          <w:sz w:val="32"/>
          <w:szCs w:val="24"/>
          <w:lang w:val="en-US" w:eastAsia="zh-CN"/>
        </w:rPr>
        <w:t>价格管控</w:t>
      </w:r>
    </w:p>
    <w:p>
      <w:pPr>
        <w:pStyle w:val="12"/>
        <w:keepNext w:val="0"/>
        <w:keepLines w:val="0"/>
        <w:pageBreakBefore w:val="0"/>
        <w:kinsoku/>
        <w:wordWrap/>
        <w:topLinePunct w:val="0"/>
        <w:bidi w:val="0"/>
        <w:snapToGrid/>
        <w:spacing w:after="0" w:line="578" w:lineRule="exact"/>
        <w:ind w:firstLine="640" w:firstLineChars="200"/>
        <w:outlineLvl w:val="9"/>
        <w:rPr>
          <w:rFonts w:hint="eastAsia"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lang w:val="en-US" w:eastAsia="zh-CN"/>
        </w:rPr>
        <w:t>当事人</w:t>
      </w:r>
      <w:r>
        <w:rPr>
          <w:rFonts w:hint="eastAsia" w:ascii="Times New Roman" w:hAnsi="Times New Roman" w:eastAsia="仿宋_GB2312" w:cs="Times New Roman"/>
          <w:color w:val="000000"/>
          <w:sz w:val="32"/>
          <w:szCs w:val="32"/>
        </w:rPr>
        <w:t>制定《芝麻街英语合作中心课程定(调)价管理制度》《芝麻街英语合作中心违规处理制度》《芝麻街英语培训中心违规处理办法》等规章制度，要求加盟商定价、调价均须报总部</w:t>
      </w:r>
      <w:r>
        <w:rPr>
          <w:rFonts w:hint="eastAsia" w:ascii="Times New Roman" w:hAnsi="Times New Roman" w:eastAsia="仿宋_GB2312" w:cs="Times New Roman"/>
          <w:color w:val="000000"/>
          <w:sz w:val="32"/>
          <w:szCs w:val="32"/>
          <w:lang w:eastAsia="zh-CN"/>
        </w:rPr>
        <w:t>（</w:t>
      </w:r>
      <w:r>
        <w:rPr>
          <w:rFonts w:hint="eastAsia" w:ascii="Times New Roman" w:hAnsi="Times New Roman" w:eastAsia="仿宋_GB2312" w:cs="Times New Roman"/>
          <w:color w:val="000000"/>
          <w:sz w:val="32"/>
          <w:szCs w:val="32"/>
          <w:lang w:val="en-US" w:eastAsia="zh-CN"/>
        </w:rPr>
        <w:t>即当事人，下同</w:t>
      </w:r>
      <w:r>
        <w:rPr>
          <w:rFonts w:hint="eastAsia" w:ascii="Times New Roman" w:hAnsi="Times New Roman" w:eastAsia="仿宋_GB2312" w:cs="Times New Roman"/>
          <w:color w:val="000000"/>
          <w:sz w:val="32"/>
          <w:szCs w:val="32"/>
          <w:lang w:eastAsia="zh-CN"/>
        </w:rPr>
        <w:t>）</w:t>
      </w:r>
      <w:r>
        <w:rPr>
          <w:rFonts w:hint="eastAsia" w:ascii="Times New Roman" w:hAnsi="Times New Roman" w:eastAsia="仿宋_GB2312" w:cs="Times New Roman"/>
          <w:color w:val="000000"/>
          <w:sz w:val="32"/>
          <w:szCs w:val="32"/>
        </w:rPr>
        <w:t>审批</w:t>
      </w:r>
      <w:r>
        <w:rPr>
          <w:rFonts w:hint="eastAsia" w:eastAsia="仿宋_GB2312" w:cs="Times New Roman"/>
          <w:color w:val="000000"/>
          <w:sz w:val="32"/>
          <w:szCs w:val="32"/>
          <w:lang w:eastAsia="zh-CN"/>
        </w:rPr>
        <w:t>；</w:t>
      </w:r>
      <w:r>
        <w:rPr>
          <w:rFonts w:hint="eastAsia" w:ascii="Times New Roman" w:hAnsi="Times New Roman" w:eastAsia="仿宋_GB2312" w:cs="Times New Roman"/>
          <w:color w:val="000000"/>
          <w:sz w:val="32"/>
          <w:szCs w:val="32"/>
        </w:rPr>
        <w:t>未经总部批准，加盟商不得私自调整该阶段课程收费标准</w:t>
      </w:r>
      <w:r>
        <w:rPr>
          <w:rFonts w:hint="eastAsia" w:eastAsia="仿宋_GB2312" w:cs="Times New Roman"/>
          <w:color w:val="000000"/>
          <w:sz w:val="32"/>
          <w:szCs w:val="32"/>
          <w:lang w:eastAsia="zh-CN"/>
        </w:rPr>
        <w:t>；</w:t>
      </w:r>
      <w:r>
        <w:rPr>
          <w:rFonts w:hint="eastAsia" w:ascii="Times New Roman" w:hAnsi="Times New Roman" w:eastAsia="仿宋_GB2312" w:cs="Times New Roman"/>
          <w:color w:val="000000"/>
          <w:sz w:val="32"/>
          <w:szCs w:val="32"/>
        </w:rPr>
        <w:t>违规收取相关费用、私自调整课程价格被列为严重违规，违约责任包括但不限于收取违约金、停业整顿5</w:t>
      </w:r>
      <w:r>
        <w:rPr>
          <w:rFonts w:hint="eastAsia" w:eastAsia="仿宋_GB2312" w:cs="Times New Roman"/>
          <w:color w:val="000000"/>
          <w:sz w:val="32"/>
          <w:szCs w:val="32"/>
          <w:lang w:eastAsia="zh-CN"/>
        </w:rPr>
        <w:t>—</w:t>
      </w:r>
      <w:r>
        <w:rPr>
          <w:rFonts w:hint="eastAsia" w:ascii="Times New Roman" w:hAnsi="Times New Roman" w:eastAsia="仿宋_GB2312" w:cs="Times New Roman"/>
          <w:color w:val="000000"/>
          <w:sz w:val="32"/>
          <w:szCs w:val="32"/>
        </w:rPr>
        <w:t>7周、取消授权资格、追究其法律责任等。</w:t>
      </w:r>
    </w:p>
    <w:p>
      <w:pPr>
        <w:pStyle w:val="12"/>
        <w:keepNext w:val="0"/>
        <w:keepLines w:val="0"/>
        <w:pageBreakBefore w:val="0"/>
        <w:kinsoku/>
        <w:wordWrap/>
        <w:topLinePunct w:val="0"/>
        <w:bidi w:val="0"/>
        <w:snapToGrid/>
        <w:spacing w:after="0" w:line="578" w:lineRule="exact"/>
        <w:ind w:firstLine="640" w:firstLineChars="200"/>
        <w:outlineLvl w:val="9"/>
        <w:rPr>
          <w:rFonts w:hint="eastAsia"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lang w:val="en-US" w:eastAsia="zh-CN"/>
        </w:rPr>
        <w:t>当事人</w:t>
      </w:r>
      <w:r>
        <w:rPr>
          <w:rFonts w:hint="eastAsia" w:ascii="Times New Roman" w:hAnsi="Times New Roman" w:eastAsia="仿宋_GB2312" w:cs="Times New Roman"/>
          <w:color w:val="000000"/>
          <w:sz w:val="32"/>
          <w:szCs w:val="32"/>
        </w:rPr>
        <w:t>通过邮件将上述规定告知加盟商，</w:t>
      </w:r>
      <w:r>
        <w:rPr>
          <w:rFonts w:hint="eastAsia" w:eastAsia="仿宋_GB2312" w:cs="Times New Roman"/>
          <w:color w:val="000000"/>
          <w:sz w:val="32"/>
          <w:szCs w:val="32"/>
          <w:lang w:val="en-US" w:eastAsia="zh-CN"/>
        </w:rPr>
        <w:t>并</w:t>
      </w:r>
      <w:r>
        <w:rPr>
          <w:rFonts w:hint="eastAsia" w:ascii="Times New Roman" w:hAnsi="Times New Roman" w:eastAsia="仿宋_GB2312" w:cs="Times New Roman"/>
          <w:color w:val="000000"/>
          <w:sz w:val="32"/>
          <w:szCs w:val="32"/>
        </w:rPr>
        <w:t>在芝麻街英语（中国）合作中心信息管理平台“规章制度”模块公示。</w:t>
      </w:r>
    </w:p>
    <w:p>
      <w:pPr>
        <w:pStyle w:val="12"/>
        <w:keepNext w:val="0"/>
        <w:keepLines w:val="0"/>
        <w:pageBreakBefore w:val="0"/>
        <w:kinsoku/>
        <w:wordWrap/>
        <w:topLinePunct w:val="0"/>
        <w:bidi w:val="0"/>
        <w:snapToGrid/>
        <w:spacing w:after="0" w:line="578" w:lineRule="exact"/>
        <w:ind w:firstLine="643" w:firstLineChars="200"/>
        <w:outlineLvl w:val="9"/>
        <w:rPr>
          <w:rFonts w:hint="eastAsia" w:ascii="仿宋_GB2312" w:hAnsi="仿宋_GB2312" w:eastAsia="仿宋_GB2312" w:cs="仿宋_GB2312"/>
          <w:b/>
          <w:bCs/>
          <w:kern w:val="0"/>
          <w:sz w:val="32"/>
          <w:szCs w:val="24"/>
        </w:rPr>
      </w:pPr>
      <w:r>
        <w:rPr>
          <w:rFonts w:hint="eastAsia" w:ascii="仿宋_GB2312" w:hAnsi="仿宋_GB2312" w:eastAsia="仿宋_GB2312" w:cs="仿宋_GB2312"/>
          <w:b/>
          <w:bCs/>
          <w:color w:val="000000"/>
          <w:sz w:val="32"/>
          <w:szCs w:val="32"/>
        </w:rPr>
        <w:t>3.</w:t>
      </w:r>
      <w:r>
        <w:rPr>
          <w:rFonts w:hint="eastAsia" w:ascii="仿宋_GB2312" w:hAnsi="仿宋_GB2312" w:eastAsia="仿宋_GB2312" w:cs="仿宋_GB2312"/>
          <w:b/>
          <w:bCs/>
          <w:kern w:val="0"/>
          <w:sz w:val="32"/>
          <w:szCs w:val="24"/>
        </w:rPr>
        <w:t>通过邮件向加盟商传达各地区定价变化及优惠活动信息</w:t>
      </w:r>
    </w:p>
    <w:p>
      <w:pPr>
        <w:pStyle w:val="12"/>
        <w:keepNext w:val="0"/>
        <w:keepLines w:val="0"/>
        <w:pageBreakBefore w:val="0"/>
        <w:kinsoku/>
        <w:wordWrap/>
        <w:topLinePunct w:val="0"/>
        <w:bidi w:val="0"/>
        <w:snapToGrid/>
        <w:spacing w:after="0" w:line="578" w:lineRule="exact"/>
        <w:ind w:left="0" w:firstLine="640" w:firstLineChars="200"/>
        <w:outlineLvl w:val="9"/>
        <w:rPr>
          <w:rFonts w:hint="eastAsia"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lang w:val="en-US" w:eastAsia="zh-CN"/>
        </w:rPr>
        <w:t>当事人</w:t>
      </w:r>
      <w:r>
        <w:rPr>
          <w:rFonts w:hint="eastAsia" w:ascii="Times New Roman" w:hAnsi="Times New Roman" w:eastAsia="仿宋_GB2312" w:cs="Times New Roman"/>
          <w:color w:val="000000"/>
          <w:sz w:val="32"/>
          <w:szCs w:val="32"/>
        </w:rPr>
        <w:t>通过邮件将不同时期</w:t>
      </w:r>
      <w:r>
        <w:rPr>
          <w:rFonts w:hint="eastAsia" w:eastAsia="仿宋_GB2312" w:cs="Times New Roman"/>
          <w:color w:val="000000"/>
          <w:sz w:val="32"/>
          <w:szCs w:val="32"/>
          <w:lang w:eastAsia="zh-CN"/>
        </w:rPr>
        <w:t>、</w:t>
      </w:r>
      <w:r>
        <w:rPr>
          <w:rFonts w:hint="eastAsia" w:ascii="Times New Roman" w:hAnsi="Times New Roman" w:eastAsia="仿宋_GB2312" w:cs="Times New Roman"/>
          <w:color w:val="000000"/>
          <w:sz w:val="32"/>
          <w:szCs w:val="32"/>
        </w:rPr>
        <w:t>不同地区</w:t>
      </w:r>
      <w:r>
        <w:rPr>
          <w:rFonts w:hint="eastAsia" w:eastAsia="仿宋_GB2312" w:cs="Times New Roman"/>
          <w:color w:val="000000"/>
          <w:sz w:val="32"/>
          <w:szCs w:val="32"/>
          <w:lang w:val="en-US" w:eastAsia="zh-CN"/>
        </w:rPr>
        <w:t>的</w:t>
      </w:r>
      <w:r>
        <w:rPr>
          <w:rFonts w:hint="eastAsia" w:ascii="Times New Roman" w:hAnsi="Times New Roman" w:eastAsia="仿宋_GB2312" w:cs="Times New Roman"/>
          <w:color w:val="000000"/>
          <w:sz w:val="32"/>
          <w:szCs w:val="32"/>
        </w:rPr>
        <w:t>课程定价（包括原价即对外报价、优惠价即实收价格）发给加盟商。</w:t>
      </w:r>
      <w:r>
        <w:rPr>
          <w:rFonts w:hint="eastAsia" w:ascii="Times New Roman" w:hAnsi="Times New Roman" w:eastAsia="仿宋_GB2312" w:cs="Times New Roman"/>
          <w:color w:val="000000"/>
          <w:sz w:val="32"/>
          <w:szCs w:val="32"/>
          <w:lang w:val="en-US" w:eastAsia="zh-CN"/>
        </w:rPr>
        <w:t>当事人</w:t>
      </w:r>
      <w:r>
        <w:rPr>
          <w:rFonts w:hint="eastAsia" w:ascii="Times New Roman" w:hAnsi="Times New Roman" w:eastAsia="仿宋_GB2312" w:cs="Times New Roman"/>
          <w:color w:val="000000"/>
          <w:sz w:val="32"/>
          <w:szCs w:val="32"/>
        </w:rPr>
        <w:t>制定统一</w:t>
      </w:r>
      <w:r>
        <w:rPr>
          <w:rFonts w:hint="eastAsia" w:eastAsia="仿宋_GB2312" w:cs="Times New Roman"/>
          <w:color w:val="000000"/>
          <w:sz w:val="32"/>
          <w:szCs w:val="32"/>
          <w:lang w:val="en-US" w:eastAsia="zh-CN"/>
        </w:rPr>
        <w:t>的</w:t>
      </w:r>
      <w:r>
        <w:rPr>
          <w:rFonts w:hint="eastAsia" w:ascii="Times New Roman" w:hAnsi="Times New Roman" w:eastAsia="仿宋_GB2312" w:cs="Times New Roman"/>
          <w:color w:val="000000"/>
          <w:sz w:val="32"/>
          <w:szCs w:val="32"/>
        </w:rPr>
        <w:t>优惠方案，要求全国各</w:t>
      </w:r>
      <w:r>
        <w:rPr>
          <w:rFonts w:hint="eastAsia" w:ascii="Times New Roman" w:hAnsi="Times New Roman" w:eastAsia="仿宋_GB2312" w:cs="Times New Roman"/>
          <w:color w:val="000000"/>
          <w:sz w:val="32"/>
          <w:szCs w:val="32"/>
          <w:lang w:eastAsia="zh-CN"/>
        </w:rPr>
        <w:t>加盟商</w:t>
      </w:r>
      <w:r>
        <w:rPr>
          <w:rFonts w:hint="eastAsia" w:ascii="Times New Roman" w:hAnsi="Times New Roman" w:eastAsia="仿宋_GB2312" w:cs="Times New Roman"/>
          <w:color w:val="000000"/>
          <w:sz w:val="32"/>
          <w:szCs w:val="32"/>
        </w:rPr>
        <w:t>优惠政策须严格按照优惠方案执行，不得私自更改优惠方式及幅度，要求</w:t>
      </w:r>
      <w:r>
        <w:rPr>
          <w:rFonts w:hint="eastAsia" w:eastAsia="仿宋_GB2312" w:cs="Times New Roman"/>
          <w:color w:val="000000"/>
          <w:sz w:val="32"/>
          <w:szCs w:val="32"/>
          <w:lang w:val="en-US" w:eastAsia="zh-CN"/>
        </w:rPr>
        <w:t>加盟商</w:t>
      </w:r>
      <w:r>
        <w:rPr>
          <w:rFonts w:hint="eastAsia" w:ascii="Times New Roman" w:hAnsi="Times New Roman" w:eastAsia="仿宋_GB2312" w:cs="Times New Roman"/>
          <w:color w:val="000000"/>
          <w:sz w:val="32"/>
          <w:szCs w:val="32"/>
        </w:rPr>
        <w:t>严格按照</w:t>
      </w:r>
      <w:r>
        <w:rPr>
          <w:rFonts w:hint="eastAsia" w:eastAsia="仿宋_GB2312" w:cs="Times New Roman"/>
          <w:color w:val="000000"/>
          <w:sz w:val="32"/>
          <w:szCs w:val="32"/>
          <w:lang w:val="en-US" w:eastAsia="zh-CN"/>
        </w:rPr>
        <w:t>其</w:t>
      </w:r>
      <w:r>
        <w:rPr>
          <w:rFonts w:hint="eastAsia" w:ascii="Times New Roman" w:hAnsi="Times New Roman" w:eastAsia="仿宋_GB2312" w:cs="Times New Roman"/>
          <w:color w:val="000000"/>
          <w:sz w:val="32"/>
          <w:szCs w:val="32"/>
        </w:rPr>
        <w:t>在总部备案的《定价确认书》进行课程收费。</w:t>
      </w:r>
    </w:p>
    <w:p>
      <w:pPr>
        <w:pStyle w:val="12"/>
        <w:keepNext w:val="0"/>
        <w:keepLines w:val="0"/>
        <w:pageBreakBefore w:val="0"/>
        <w:kinsoku/>
        <w:wordWrap/>
        <w:topLinePunct w:val="0"/>
        <w:bidi w:val="0"/>
        <w:snapToGrid/>
        <w:spacing w:after="0" w:line="578" w:lineRule="exact"/>
        <w:ind w:left="0" w:firstLine="643" w:firstLineChars="200"/>
        <w:outlineLvl w:val="9"/>
        <w:rPr>
          <w:rFonts w:hint="eastAsia" w:ascii="Times New Roman" w:hAnsi="Times New Roman" w:eastAsia="楷体_GB2312" w:cs="Times New Roman"/>
          <w:b/>
          <w:bCs/>
          <w:kern w:val="0"/>
          <w:sz w:val="32"/>
          <w:szCs w:val="24"/>
        </w:rPr>
      </w:pPr>
      <w:r>
        <w:rPr>
          <w:rFonts w:hint="eastAsia" w:ascii="仿宋_GB2312" w:hAnsi="仿宋_GB2312" w:eastAsia="仿宋_GB2312" w:cs="仿宋_GB2312"/>
          <w:b/>
          <w:bCs/>
          <w:kern w:val="0"/>
          <w:sz w:val="32"/>
          <w:szCs w:val="24"/>
        </w:rPr>
        <w:t>4.</w:t>
      </w:r>
      <w:r>
        <w:rPr>
          <w:rFonts w:hint="eastAsia" w:ascii="仿宋_GB2312" w:hAnsi="仿宋_GB2312" w:eastAsia="仿宋_GB2312" w:cs="仿宋_GB2312"/>
          <w:b/>
          <w:bCs/>
          <w:color w:val="auto"/>
          <w:kern w:val="0"/>
          <w:sz w:val="32"/>
          <w:szCs w:val="24"/>
          <w:lang w:val="en-US" w:eastAsia="zh-CN"/>
        </w:rPr>
        <w:t>当事人</w:t>
      </w:r>
      <w:r>
        <w:rPr>
          <w:rFonts w:hint="eastAsia" w:ascii="仿宋_GB2312" w:hAnsi="仿宋_GB2312" w:eastAsia="仿宋_GB2312" w:cs="仿宋_GB2312"/>
          <w:b/>
          <w:bCs/>
          <w:kern w:val="0"/>
          <w:sz w:val="32"/>
          <w:szCs w:val="24"/>
        </w:rPr>
        <w:t>答复消费者价格由总部制定</w:t>
      </w:r>
    </w:p>
    <w:p>
      <w:pPr>
        <w:pStyle w:val="12"/>
        <w:keepNext w:val="0"/>
        <w:keepLines w:val="0"/>
        <w:pageBreakBefore w:val="0"/>
        <w:kinsoku/>
        <w:wordWrap/>
        <w:topLinePunct w:val="0"/>
        <w:bidi w:val="0"/>
        <w:snapToGrid/>
        <w:spacing w:after="0" w:line="578" w:lineRule="exact"/>
        <w:ind w:firstLine="640" w:firstLineChars="200"/>
        <w:outlineLvl w:val="9"/>
        <w:rPr>
          <w:rFonts w:hint="eastAsia" w:hAnsi="Times New Roman" w:eastAsia="仿宋_GB2312" w:cs="Times New Roman"/>
          <w:color w:val="000000"/>
          <w:sz w:val="32"/>
          <w:szCs w:val="32"/>
        </w:rPr>
      </w:pPr>
      <w:r>
        <w:rPr>
          <w:rFonts w:hint="eastAsia" w:ascii="Times New Roman" w:hAnsi="Times New Roman" w:eastAsia="仿宋_GB2312" w:cs="Times New Roman"/>
          <w:color w:val="000000"/>
          <w:sz w:val="32"/>
          <w:szCs w:val="32"/>
          <w:lang w:val="en-US" w:eastAsia="zh-CN"/>
        </w:rPr>
        <w:t>当事人</w:t>
      </w:r>
      <w:r>
        <w:rPr>
          <w:rFonts w:hint="eastAsia" w:hAnsi="Times New Roman" w:eastAsia="仿宋_GB2312" w:cs="Times New Roman"/>
          <w:color w:val="000000"/>
          <w:sz w:val="32"/>
          <w:szCs w:val="32"/>
        </w:rPr>
        <w:t>工作人员在电话答复各地家长对学费价格疑问时，表示“不同地区价格会有所不同，均由总部相关部门管控”“校区价格都是由总部制定”“校区无法私自更改价格”“校区的价格调整都是经过总部审核的”，总部“要求校区调回14880元的最低卖价”。上述电话答复情况通过邮件报送</w:t>
      </w:r>
      <w:r>
        <w:rPr>
          <w:rFonts w:hint="eastAsia" w:ascii="Times New Roman" w:hAnsi="Times New Roman" w:eastAsia="仿宋_GB2312" w:cs="Times New Roman"/>
          <w:color w:val="000000"/>
          <w:sz w:val="32"/>
          <w:szCs w:val="32"/>
          <w:lang w:val="en-US" w:eastAsia="zh-CN"/>
        </w:rPr>
        <w:t>当事人内部</w:t>
      </w:r>
      <w:r>
        <w:rPr>
          <w:rFonts w:hint="eastAsia" w:hAnsi="Times New Roman" w:eastAsia="仿宋_GB2312" w:cs="Times New Roman"/>
          <w:color w:val="000000"/>
          <w:sz w:val="32"/>
          <w:szCs w:val="32"/>
        </w:rPr>
        <w:t>其他工作人员及各层级负责人。</w:t>
      </w:r>
    </w:p>
    <w:p>
      <w:pPr>
        <w:pStyle w:val="12"/>
        <w:keepNext w:val="0"/>
        <w:keepLines w:val="0"/>
        <w:pageBreakBefore w:val="0"/>
        <w:kinsoku/>
        <w:wordWrap/>
        <w:topLinePunct w:val="0"/>
        <w:bidi w:val="0"/>
        <w:snapToGrid/>
        <w:spacing w:after="0" w:line="578" w:lineRule="exact"/>
        <w:ind w:firstLine="482" w:firstLineChars="150"/>
        <w:outlineLvl w:val="9"/>
        <w:rPr>
          <w:rFonts w:hint="eastAsia" w:ascii="楷体" w:hAnsi="楷体" w:eastAsia="楷体" w:cstheme="minorBidi"/>
          <w:b/>
          <w:bCs/>
          <w:sz w:val="32"/>
          <w:szCs w:val="32"/>
        </w:rPr>
      </w:pPr>
      <w:r>
        <w:rPr>
          <w:rFonts w:hint="eastAsia" w:ascii="楷体" w:hAnsi="楷体" w:eastAsia="楷体" w:cstheme="minorBidi"/>
          <w:b/>
          <w:bCs/>
          <w:sz w:val="32"/>
          <w:szCs w:val="32"/>
        </w:rPr>
        <w:t>（二）</w:t>
      </w:r>
      <w:r>
        <w:rPr>
          <w:rFonts w:hint="eastAsia" w:ascii="楷体_GB2312" w:hAnsi="Cambria" w:eastAsia="楷体_GB2312" w:cs="Times New Roman"/>
          <w:b/>
          <w:sz w:val="32"/>
          <w:szCs w:val="32"/>
        </w:rPr>
        <w:t>当事人实施</w:t>
      </w:r>
      <w:r>
        <w:rPr>
          <w:rFonts w:hint="eastAsia" w:ascii="楷体_GB2312" w:hAnsi="Cambria" w:eastAsia="楷体_GB2312" w:cs="Times New Roman"/>
          <w:b/>
          <w:sz w:val="32"/>
          <w:szCs w:val="32"/>
          <w:lang w:eastAsia="zh-CN"/>
        </w:rPr>
        <w:t>固定</w:t>
      </w:r>
      <w:r>
        <w:rPr>
          <w:rFonts w:hint="eastAsia" w:ascii="楷体_GB2312" w:hAnsi="Cambria" w:eastAsia="楷体_GB2312" w:cs="Times New Roman"/>
          <w:b/>
          <w:sz w:val="32"/>
          <w:szCs w:val="32"/>
          <w:lang w:val="en-US" w:eastAsia="zh-CN"/>
        </w:rPr>
        <w:t>转售</w:t>
      </w:r>
      <w:r>
        <w:rPr>
          <w:rFonts w:hint="eastAsia" w:ascii="楷体_GB2312" w:hAnsi="Cambria" w:eastAsia="楷体_GB2312" w:cs="Times New Roman"/>
          <w:b/>
          <w:sz w:val="32"/>
          <w:szCs w:val="32"/>
        </w:rPr>
        <w:t>价格的垄断协议</w:t>
      </w:r>
    </w:p>
    <w:p>
      <w:pPr>
        <w:keepNext w:val="0"/>
        <w:keepLines w:val="0"/>
        <w:pageBreakBefore w:val="0"/>
        <w:kinsoku/>
        <w:wordWrap/>
        <w:topLinePunct w:val="0"/>
        <w:bidi w:val="0"/>
        <w:snapToGrid/>
        <w:spacing w:line="578" w:lineRule="exact"/>
        <w:ind w:firstLine="643" w:firstLineChars="200"/>
        <w:outlineLvl w:val="9"/>
        <w:rPr>
          <w:rFonts w:hint="eastAsia" w:ascii="仿宋_GB2312" w:hAnsi="仿宋_GB2312" w:eastAsia="仿宋_GB2312" w:cs="仿宋_GB2312"/>
          <w:b/>
          <w:bCs/>
          <w:kern w:val="0"/>
          <w:sz w:val="32"/>
          <w:szCs w:val="24"/>
        </w:rPr>
      </w:pPr>
      <w:r>
        <w:rPr>
          <w:rFonts w:hint="eastAsia" w:ascii="仿宋_GB2312" w:hAnsi="仿宋_GB2312" w:eastAsia="仿宋_GB2312" w:cs="仿宋_GB2312"/>
          <w:b/>
          <w:bCs/>
          <w:kern w:val="0"/>
          <w:sz w:val="32"/>
          <w:szCs w:val="24"/>
        </w:rPr>
        <w:t>1.加盟商定价或调价，须经</w:t>
      </w:r>
      <w:r>
        <w:rPr>
          <w:rFonts w:hint="eastAsia" w:ascii="仿宋_GB2312" w:hAnsi="仿宋_GB2312" w:eastAsia="仿宋_GB2312" w:cs="仿宋_GB2312"/>
          <w:b/>
          <w:bCs/>
          <w:kern w:val="0"/>
          <w:sz w:val="32"/>
          <w:szCs w:val="24"/>
          <w:lang w:val="en-US" w:eastAsia="zh-CN"/>
        </w:rPr>
        <w:t>当事人</w:t>
      </w:r>
      <w:r>
        <w:rPr>
          <w:rFonts w:hint="eastAsia" w:ascii="仿宋_GB2312" w:hAnsi="仿宋_GB2312" w:eastAsia="仿宋_GB2312" w:cs="仿宋_GB2312"/>
          <w:b/>
          <w:bCs/>
          <w:kern w:val="0"/>
          <w:sz w:val="32"/>
          <w:szCs w:val="24"/>
        </w:rPr>
        <w:t>审批通过方可执行</w:t>
      </w:r>
    </w:p>
    <w:p>
      <w:pPr>
        <w:keepNext w:val="0"/>
        <w:keepLines w:val="0"/>
        <w:pageBreakBefore w:val="0"/>
        <w:kinsoku/>
        <w:wordWrap/>
        <w:topLinePunct w:val="0"/>
        <w:bidi w:val="0"/>
        <w:snapToGrid/>
        <w:spacing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color w:val="000000"/>
          <w:sz w:val="32"/>
          <w:szCs w:val="32"/>
        </w:rPr>
        <w:t>各地加盟商开业对课程定价或开业后调整价格，均须向</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提出书面申请，其定价及实收价均须</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通过邮件层层审批通过后方可施行。</w:t>
      </w:r>
    </w:p>
    <w:p>
      <w:pPr>
        <w:keepNext w:val="0"/>
        <w:keepLines w:val="0"/>
        <w:pageBreakBefore w:val="0"/>
        <w:kinsoku/>
        <w:wordWrap/>
        <w:topLinePunct w:val="0"/>
        <w:bidi w:val="0"/>
        <w:snapToGrid/>
        <w:spacing w:line="578" w:lineRule="exact"/>
        <w:ind w:firstLine="643" w:firstLineChars="200"/>
        <w:outlineLvl w:val="9"/>
        <w:rPr>
          <w:rFonts w:hint="eastAsia" w:ascii="仿宋_GB2312" w:hAnsi="仿宋_GB2312" w:eastAsia="仿宋_GB2312" w:cs="仿宋_GB2312"/>
          <w:b w:val="0"/>
          <w:color w:val="000000"/>
          <w:sz w:val="32"/>
          <w:szCs w:val="32"/>
        </w:rPr>
      </w:pPr>
      <w:r>
        <w:rPr>
          <w:rFonts w:hint="eastAsia" w:ascii="仿宋_GB2312" w:hAnsi="仿宋_GB2312" w:eastAsia="仿宋_GB2312" w:cs="仿宋_GB2312"/>
          <w:b/>
          <w:bCs/>
          <w:kern w:val="0"/>
          <w:sz w:val="32"/>
          <w:szCs w:val="24"/>
        </w:rPr>
        <w:t>2.对违反价格条款的加盟商实施处罚</w:t>
      </w:r>
    </w:p>
    <w:p>
      <w:pPr>
        <w:keepNext w:val="0"/>
        <w:keepLines w:val="0"/>
        <w:pageBreakBefore w:val="0"/>
        <w:kinsoku/>
        <w:wordWrap/>
        <w:topLinePunct w:val="0"/>
        <w:bidi w:val="0"/>
        <w:snapToGrid/>
        <w:spacing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color w:val="000000"/>
          <w:sz w:val="32"/>
          <w:szCs w:val="32"/>
        </w:rPr>
        <w:t>2016年至2019年，因</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线下收费与当地其他加盟商不一致</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未经总部批准打折优惠</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私自调整收费标准</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未经审批的降价收费</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擅自调整学费价格</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不正当价格竞争</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对外售价与《原协议》约定价格不符</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等原因，</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分别对</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南昌红谷滩世纪中央城中心</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北京大兴西红门鸿坤广场中心</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太原小店君威国际金融中心</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北京房山良乡国泰良辰中心</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北京大兴天宫苑凯德mall中心</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秦皇岛海港金桥商厦中心</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无锡滨湖溪南公馆中心</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lang w:val="en-US" w:eastAsia="zh-CN"/>
        </w:rPr>
        <w:t>作</w:t>
      </w:r>
      <w:r>
        <w:rPr>
          <w:rFonts w:hint="eastAsia" w:ascii="Times New Roman" w:hAnsi="Times New Roman" w:eastAsia="仿宋_GB2312" w:cs="Times New Roman"/>
          <w:b w:val="0"/>
          <w:color w:val="000000"/>
          <w:sz w:val="32"/>
          <w:szCs w:val="32"/>
        </w:rPr>
        <w:t>出限期停业整顿、罚款、全国通报批评等</w:t>
      </w:r>
      <w:r>
        <w:rPr>
          <w:rFonts w:hint="eastAsia" w:ascii="Times New Roman" w:hAnsi="Times New Roman" w:eastAsia="仿宋_GB2312" w:cs="Times New Roman"/>
          <w:b w:val="0"/>
          <w:color w:val="000000"/>
          <w:sz w:val="32"/>
          <w:szCs w:val="32"/>
          <w:lang w:val="en-US" w:eastAsia="zh-CN"/>
        </w:rPr>
        <w:t>不同</w:t>
      </w:r>
      <w:r>
        <w:rPr>
          <w:rFonts w:hint="eastAsia" w:ascii="Times New Roman" w:hAnsi="Times New Roman" w:eastAsia="仿宋_GB2312" w:cs="Times New Roman"/>
          <w:b w:val="0"/>
          <w:color w:val="000000"/>
          <w:sz w:val="32"/>
          <w:szCs w:val="32"/>
        </w:rPr>
        <w:t>形式的处罚。</w:t>
      </w:r>
    </w:p>
    <w:p>
      <w:pPr>
        <w:pStyle w:val="2"/>
        <w:keepNext w:val="0"/>
        <w:keepLines w:val="0"/>
        <w:pageBreakBefore w:val="0"/>
        <w:kinsoku/>
        <w:wordWrap/>
        <w:topLinePunct w:val="0"/>
        <w:bidi w:val="0"/>
        <w:snapToGrid/>
        <w:spacing w:after="0" w:line="578" w:lineRule="exact"/>
        <w:ind w:firstLine="643" w:firstLineChars="200"/>
        <w:outlineLvl w:val="9"/>
        <w:rPr>
          <w:rFonts w:hint="eastAsia" w:ascii="楷体_GB2312" w:hAnsi="Cambria" w:eastAsia="楷体_GB2312" w:cs="Times New Roman"/>
          <w:b/>
          <w:sz w:val="32"/>
          <w:szCs w:val="32"/>
        </w:rPr>
      </w:pPr>
      <w:r>
        <w:rPr>
          <w:rFonts w:hint="eastAsia" w:ascii="楷体_GB2312" w:hAnsi="Cambria" w:eastAsia="楷体_GB2312" w:cs="Times New Roman"/>
          <w:b/>
          <w:sz w:val="32"/>
          <w:szCs w:val="32"/>
        </w:rPr>
        <w:t>（三）</w:t>
      </w:r>
      <w:r>
        <w:rPr>
          <w:rFonts w:hint="eastAsia" w:ascii="楷体_GB2312" w:hAnsi="Cambria" w:eastAsia="楷体_GB2312" w:cs="Times New Roman"/>
          <w:b/>
          <w:color w:val="auto"/>
          <w:sz w:val="32"/>
          <w:szCs w:val="32"/>
          <w:lang w:val="en-US" w:eastAsia="zh-CN"/>
        </w:rPr>
        <w:t>当事人</w:t>
      </w:r>
      <w:r>
        <w:rPr>
          <w:rFonts w:hint="eastAsia" w:ascii="楷体_GB2312" w:hAnsi="Cambria" w:eastAsia="楷体_GB2312" w:cs="Times New Roman"/>
          <w:b/>
          <w:sz w:val="32"/>
          <w:szCs w:val="32"/>
        </w:rPr>
        <w:t>上述行为排除、限制</w:t>
      </w:r>
      <w:r>
        <w:rPr>
          <w:rFonts w:hint="eastAsia" w:ascii="楷体_GB2312" w:hAnsi="Cambria" w:eastAsia="楷体_GB2312" w:cs="Times New Roman"/>
          <w:b/>
          <w:sz w:val="32"/>
          <w:szCs w:val="32"/>
          <w:lang w:val="en-US" w:eastAsia="zh-CN"/>
        </w:rPr>
        <w:t>市场</w:t>
      </w:r>
      <w:r>
        <w:rPr>
          <w:rFonts w:hint="eastAsia" w:ascii="楷体_GB2312" w:hAnsi="Cambria" w:eastAsia="楷体_GB2312" w:cs="Times New Roman"/>
          <w:b/>
          <w:sz w:val="32"/>
          <w:szCs w:val="32"/>
        </w:rPr>
        <w:t>竞争，损害消费者利益</w:t>
      </w:r>
    </w:p>
    <w:p>
      <w:pPr>
        <w:pStyle w:val="2"/>
        <w:keepNext w:val="0"/>
        <w:keepLines w:val="0"/>
        <w:pageBreakBefore w:val="0"/>
        <w:kinsoku/>
        <w:wordWrap/>
        <w:topLinePunct w:val="0"/>
        <w:bidi w:val="0"/>
        <w:snapToGrid/>
        <w:spacing w:after="0"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与加盟商是相互独立的民事法律主体，不存在彼此隶属、控股或者其他合法控制的关联关系。加盟商皆具有独立的经营主体资格，对外独立承担</w:t>
      </w:r>
      <w:r>
        <w:rPr>
          <w:rFonts w:hint="eastAsia" w:ascii="Times New Roman" w:hAnsi="Times New Roman" w:eastAsia="仿宋_GB2312" w:cs="Times New Roman"/>
          <w:b w:val="0"/>
          <w:color w:val="000000"/>
          <w:sz w:val="32"/>
          <w:szCs w:val="32"/>
          <w:lang w:val="en-US" w:eastAsia="zh-CN"/>
        </w:rPr>
        <w:t>法律</w:t>
      </w:r>
      <w:r>
        <w:rPr>
          <w:rFonts w:hint="eastAsia" w:ascii="Times New Roman" w:hAnsi="Times New Roman" w:eastAsia="仿宋_GB2312" w:cs="Times New Roman"/>
          <w:b w:val="0"/>
          <w:color w:val="000000"/>
          <w:sz w:val="32"/>
          <w:szCs w:val="32"/>
        </w:rPr>
        <w:t>责任。实施英语培训的核心要素教师是各加盟商自行聘用的，与</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无雇佣或隶属关系。</w:t>
      </w:r>
    </w:p>
    <w:p>
      <w:pPr>
        <w:pStyle w:val="2"/>
        <w:keepNext w:val="0"/>
        <w:keepLines w:val="0"/>
        <w:pageBreakBefore w:val="0"/>
        <w:kinsoku/>
        <w:wordWrap/>
        <w:topLinePunct w:val="0"/>
        <w:bidi w:val="0"/>
        <w:snapToGrid/>
        <w:spacing w:after="0"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与加盟商构成纵向上下游关系。</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作为上游供应商，凭借自身资源优势及严格的加盟管理措施，对加盟商形成强大约束力。</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对加盟商作出统一的分地区价格管控，固定加盟商收取学费的价格调整范围，对不执行其价格管控的加盟商采取警告、限期停业整顿、罚款、全国通报批评等惩罚措施，促使</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设定的转售价格得以实施，属于典型的</w:t>
      </w:r>
      <w:r>
        <w:rPr>
          <w:rFonts w:hint="eastAsia" w:ascii="Times New Roman" w:hAnsi="Times New Roman" w:eastAsia="仿宋_GB2312" w:cs="Times New Roman"/>
          <w:b w:val="0"/>
          <w:color w:val="000000"/>
          <w:sz w:val="32"/>
          <w:szCs w:val="32"/>
          <w:lang w:val="en-US" w:eastAsia="zh-CN"/>
        </w:rPr>
        <w:t>固定转售价格</w:t>
      </w:r>
      <w:r>
        <w:rPr>
          <w:rFonts w:hint="eastAsia" w:ascii="Times New Roman" w:hAnsi="Times New Roman" w:eastAsia="仿宋_GB2312" w:cs="Times New Roman"/>
          <w:b w:val="0"/>
          <w:color w:val="000000"/>
          <w:sz w:val="32"/>
          <w:szCs w:val="32"/>
        </w:rPr>
        <w:t>行为。该行为排除、限制竞争，损害消费者利益。</w:t>
      </w:r>
    </w:p>
    <w:p>
      <w:pPr>
        <w:pStyle w:val="2"/>
        <w:keepNext w:val="0"/>
        <w:keepLines w:val="0"/>
        <w:pageBreakBefore w:val="0"/>
        <w:kinsoku/>
        <w:wordWrap/>
        <w:topLinePunct w:val="0"/>
        <w:bidi w:val="0"/>
        <w:snapToGrid/>
        <w:spacing w:after="0" w:line="578" w:lineRule="exact"/>
        <w:ind w:firstLine="643" w:firstLineChars="200"/>
        <w:outlineLvl w:val="9"/>
        <w:rPr>
          <w:rFonts w:hint="eastAsia" w:ascii="仿宋_GB2312" w:hAnsi="仿宋_GB2312" w:eastAsia="仿宋_GB2312" w:cs="仿宋_GB2312"/>
          <w:b/>
          <w:bCs/>
          <w:color w:val="000000"/>
          <w:sz w:val="32"/>
          <w:szCs w:val="32"/>
        </w:rPr>
      </w:pPr>
      <w:r>
        <w:rPr>
          <w:rFonts w:hint="eastAsia" w:ascii="仿宋_GB2312" w:hAnsi="仿宋_GB2312" w:eastAsia="仿宋_GB2312" w:cs="仿宋_GB2312"/>
          <w:b/>
          <w:bCs/>
          <w:color w:val="000000"/>
          <w:sz w:val="32"/>
          <w:szCs w:val="32"/>
        </w:rPr>
        <w:t>1.排除</w:t>
      </w:r>
      <w:r>
        <w:rPr>
          <w:rFonts w:hint="eastAsia" w:ascii="仿宋_GB2312" w:hAnsi="仿宋_GB2312" w:eastAsia="仿宋_GB2312" w:cs="仿宋_GB2312"/>
          <w:b/>
          <w:bCs/>
          <w:color w:val="000000"/>
          <w:sz w:val="32"/>
          <w:szCs w:val="32"/>
          <w:lang w:eastAsia="zh-CN"/>
        </w:rPr>
        <w:t>、</w:t>
      </w:r>
      <w:r>
        <w:rPr>
          <w:rFonts w:hint="eastAsia" w:ascii="仿宋_GB2312" w:hAnsi="仿宋_GB2312" w:eastAsia="仿宋_GB2312" w:cs="仿宋_GB2312"/>
          <w:b/>
          <w:bCs/>
          <w:color w:val="000000"/>
          <w:sz w:val="32"/>
          <w:szCs w:val="32"/>
        </w:rPr>
        <w:t>限制品牌内加盟商间的竞争</w:t>
      </w:r>
    </w:p>
    <w:p>
      <w:pPr>
        <w:pStyle w:val="2"/>
        <w:keepNext w:val="0"/>
        <w:keepLines w:val="0"/>
        <w:pageBreakBefore w:val="0"/>
        <w:kinsoku/>
        <w:wordWrap/>
        <w:topLinePunct w:val="0"/>
        <w:bidi w:val="0"/>
        <w:snapToGrid/>
        <w:spacing w:after="0"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color w:val="000000"/>
          <w:sz w:val="32"/>
          <w:szCs w:val="32"/>
        </w:rPr>
        <w:t>调查中发现，部分加盟商一</w:t>
      </w:r>
      <w:r>
        <w:rPr>
          <w:rFonts w:hint="eastAsia" w:ascii="Times New Roman" w:hAnsi="Times New Roman" w:eastAsia="仿宋_GB2312" w:cs="Times New Roman"/>
          <w:b w:val="0"/>
          <w:color w:val="000000"/>
          <w:sz w:val="32"/>
          <w:szCs w:val="32"/>
          <w:lang w:val="en-US" w:eastAsia="zh-CN"/>
        </w:rPr>
        <w:t>旦</w:t>
      </w:r>
      <w:r>
        <w:rPr>
          <w:rFonts w:hint="eastAsia" w:ascii="Times New Roman" w:hAnsi="Times New Roman" w:eastAsia="仿宋_GB2312" w:cs="Times New Roman"/>
          <w:b w:val="0"/>
          <w:color w:val="000000"/>
          <w:sz w:val="32"/>
          <w:szCs w:val="32"/>
        </w:rPr>
        <w:t>出现降价行为，其附近加盟商就会向</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举报，</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即出面制止，禁止加盟商进行价格竞争。</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的价格管控体系剥夺了加盟商作为独立经营主体的自主定价权，实施目的及实际效果均排除、限制了品牌内的价格竞争。</w:t>
      </w:r>
    </w:p>
    <w:p>
      <w:pPr>
        <w:pStyle w:val="2"/>
        <w:keepNext w:val="0"/>
        <w:keepLines w:val="0"/>
        <w:pageBreakBefore w:val="0"/>
        <w:kinsoku/>
        <w:wordWrap/>
        <w:topLinePunct w:val="0"/>
        <w:bidi w:val="0"/>
        <w:snapToGrid/>
        <w:spacing w:after="0" w:line="578" w:lineRule="exact"/>
        <w:ind w:firstLine="643" w:firstLineChars="200"/>
        <w:outlineLvl w:val="9"/>
        <w:rPr>
          <w:rFonts w:hint="eastAsia" w:ascii="仿宋_GB2312" w:hAnsi="仿宋_GB2312" w:eastAsia="仿宋_GB2312" w:cs="仿宋_GB2312"/>
          <w:b/>
          <w:bCs/>
          <w:color w:val="000000"/>
          <w:sz w:val="32"/>
          <w:szCs w:val="32"/>
        </w:rPr>
      </w:pPr>
      <w:r>
        <w:rPr>
          <w:rFonts w:hint="eastAsia" w:ascii="仿宋_GB2312" w:hAnsi="仿宋_GB2312" w:eastAsia="仿宋_GB2312" w:cs="仿宋_GB2312"/>
          <w:b/>
          <w:bCs/>
          <w:color w:val="000000"/>
          <w:sz w:val="32"/>
          <w:szCs w:val="32"/>
        </w:rPr>
        <w:t>2.限制加盟商与其他品牌同业经营者竞争</w:t>
      </w:r>
    </w:p>
    <w:p>
      <w:pPr>
        <w:pStyle w:val="2"/>
        <w:keepNext w:val="0"/>
        <w:keepLines w:val="0"/>
        <w:pageBreakBefore w:val="0"/>
        <w:kinsoku/>
        <w:wordWrap/>
        <w:topLinePunct w:val="0"/>
        <w:bidi w:val="0"/>
        <w:snapToGrid/>
        <w:spacing w:after="0"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color w:val="000000"/>
          <w:sz w:val="32"/>
          <w:szCs w:val="32"/>
        </w:rPr>
        <w:t>2021年7月</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中共中央办公厅、国务院办公厅</w:t>
      </w:r>
      <w:r>
        <w:rPr>
          <w:rFonts w:hint="eastAsia" w:ascii="Times New Roman" w:hAnsi="Times New Roman" w:eastAsia="仿宋_GB2312" w:cs="Times New Roman"/>
          <w:b w:val="0"/>
          <w:color w:val="000000"/>
          <w:sz w:val="32"/>
          <w:szCs w:val="32"/>
          <w:lang w:val="en-US" w:eastAsia="zh-CN"/>
        </w:rPr>
        <w:t>出台</w:t>
      </w:r>
      <w:r>
        <w:rPr>
          <w:rFonts w:hint="eastAsia" w:ascii="Times New Roman" w:hAnsi="Times New Roman" w:eastAsia="仿宋_GB2312" w:cs="Times New Roman"/>
          <w:b w:val="0"/>
          <w:color w:val="000000"/>
          <w:sz w:val="32"/>
          <w:szCs w:val="32"/>
        </w:rPr>
        <w:t>《关于进一步减轻义务教育阶段学生作业负担和校外培训负担的意见》</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lang w:val="en-US" w:eastAsia="zh-CN"/>
        </w:rPr>
        <w:t>在此之</w:t>
      </w:r>
      <w:r>
        <w:rPr>
          <w:rFonts w:hint="eastAsia" w:ascii="Times New Roman" w:hAnsi="Times New Roman" w:eastAsia="仿宋_GB2312" w:cs="Times New Roman"/>
          <w:b w:val="0"/>
          <w:color w:val="000000"/>
          <w:sz w:val="32"/>
          <w:szCs w:val="32"/>
        </w:rPr>
        <w:t>前，我国校外</w:t>
      </w:r>
      <w:r>
        <w:rPr>
          <w:rFonts w:hint="eastAsia" w:ascii="Times New Roman" w:hAnsi="Times New Roman" w:eastAsia="仿宋_GB2312" w:cs="Times New Roman"/>
          <w:b w:val="0"/>
          <w:color w:val="000000"/>
          <w:sz w:val="32"/>
          <w:szCs w:val="32"/>
          <w:lang w:val="en-US" w:eastAsia="zh-CN"/>
        </w:rPr>
        <w:t>儿童</w:t>
      </w:r>
      <w:r>
        <w:rPr>
          <w:rFonts w:hint="eastAsia" w:ascii="Times New Roman" w:hAnsi="Times New Roman" w:eastAsia="仿宋_GB2312" w:cs="Times New Roman"/>
          <w:b w:val="0"/>
          <w:color w:val="000000"/>
          <w:sz w:val="32"/>
          <w:szCs w:val="32"/>
        </w:rPr>
        <w:t>英语培训机构较多，在热门商圈常出现不止一家培训机构</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除教学品质之外，学费</w:t>
      </w:r>
      <w:r>
        <w:rPr>
          <w:rFonts w:hint="eastAsia" w:ascii="Times New Roman" w:hAnsi="Times New Roman" w:eastAsia="仿宋_GB2312" w:cs="Times New Roman"/>
          <w:b w:val="0"/>
          <w:color w:val="000000"/>
          <w:sz w:val="32"/>
          <w:szCs w:val="32"/>
          <w:lang w:val="en-US" w:eastAsia="zh-CN"/>
        </w:rPr>
        <w:t>价格</w:t>
      </w:r>
      <w:r>
        <w:rPr>
          <w:rFonts w:hint="eastAsia" w:ascii="Times New Roman" w:hAnsi="Times New Roman" w:eastAsia="仿宋_GB2312" w:cs="Times New Roman"/>
          <w:b w:val="0"/>
          <w:color w:val="000000"/>
          <w:sz w:val="32"/>
          <w:szCs w:val="32"/>
        </w:rPr>
        <w:t>是影响消费者选择的重要因素。</w:t>
      </w:r>
      <w:r>
        <w:rPr>
          <w:rFonts w:hint="eastAsia" w:ascii="Times New Roman" w:hAnsi="Times New Roman" w:eastAsia="仿宋_GB2312" w:cs="Times New Roman"/>
          <w:b w:val="0"/>
          <w:color w:val="000000"/>
          <w:sz w:val="32"/>
          <w:szCs w:val="32"/>
          <w:lang w:val="en-US" w:eastAsia="zh-CN"/>
        </w:rPr>
        <w:t>当事人固定转售价格</w:t>
      </w:r>
      <w:r>
        <w:rPr>
          <w:rFonts w:hint="eastAsia" w:ascii="Times New Roman" w:hAnsi="Times New Roman" w:eastAsia="仿宋_GB2312" w:cs="Times New Roman"/>
          <w:b w:val="0"/>
          <w:color w:val="000000"/>
          <w:sz w:val="32"/>
          <w:szCs w:val="32"/>
        </w:rPr>
        <w:t>，使加盟商无法根据经营环境和竞争对手情况及时调整竞争策略，无法通过价格调整这一重要手段与同行业其他品牌经营者开展充分竞争，难以发挥竞争优势，弱化了其竞争力，限制了加盟商与其他品牌经营者间的竞争。</w:t>
      </w:r>
    </w:p>
    <w:p>
      <w:pPr>
        <w:pStyle w:val="2"/>
        <w:keepNext w:val="0"/>
        <w:keepLines w:val="0"/>
        <w:pageBreakBefore w:val="0"/>
        <w:kinsoku/>
        <w:wordWrap/>
        <w:topLinePunct w:val="0"/>
        <w:bidi w:val="0"/>
        <w:snapToGrid/>
        <w:spacing w:after="0" w:line="578" w:lineRule="exact"/>
        <w:ind w:firstLine="643" w:firstLineChars="200"/>
        <w:outlineLvl w:val="9"/>
        <w:rPr>
          <w:rFonts w:hint="eastAsia" w:ascii="仿宋_GB2312" w:hAnsi="仿宋_GB2312" w:eastAsia="仿宋_GB2312" w:cs="仿宋_GB2312"/>
          <w:b/>
          <w:bCs/>
          <w:color w:val="000000"/>
          <w:sz w:val="32"/>
          <w:szCs w:val="32"/>
        </w:rPr>
      </w:pPr>
      <w:r>
        <w:rPr>
          <w:rFonts w:hint="eastAsia" w:ascii="仿宋_GB2312" w:hAnsi="仿宋_GB2312" w:eastAsia="仿宋_GB2312" w:cs="仿宋_GB2312"/>
          <w:b/>
          <w:bCs/>
          <w:color w:val="000000"/>
          <w:sz w:val="32"/>
          <w:szCs w:val="32"/>
        </w:rPr>
        <w:t>3.损害消费者利益</w:t>
      </w:r>
    </w:p>
    <w:p>
      <w:pPr>
        <w:pStyle w:val="2"/>
        <w:keepNext w:val="0"/>
        <w:keepLines w:val="0"/>
        <w:pageBreakBefore w:val="0"/>
        <w:numPr>
          <w:ilvl w:val="-1"/>
          <w:numId w:val="0"/>
        </w:numPr>
        <w:kinsoku/>
        <w:wordWrap/>
        <w:overflowPunct/>
        <w:topLinePunct w:val="0"/>
        <w:autoSpaceDE/>
        <w:autoSpaceDN/>
        <w:bidi w:val="0"/>
        <w:adjustRightInd/>
        <w:snapToGrid/>
        <w:spacing w:after="0" w:line="578" w:lineRule="exact"/>
        <w:ind w:firstLine="640" w:firstLineChars="200"/>
        <w:outlineLvl w:val="9"/>
        <w:rPr>
          <w:rFonts w:hint="eastAsia" w:eastAsia="仿宋_GB2312"/>
          <w:sz w:val="32"/>
          <w:szCs w:val="32"/>
        </w:rPr>
      </w:pP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通过协议条款禁止加盟商私自调整价格，对自行优惠</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lang w:val="en-US" w:eastAsia="zh-CN"/>
        </w:rPr>
        <w:t>打折、降价</w:t>
      </w:r>
      <w:bookmarkStart w:id="8" w:name="_GoBack"/>
      <w:bookmarkEnd w:id="8"/>
      <w:r>
        <w:rPr>
          <w:rFonts w:hint="eastAsia" w:ascii="Times New Roman" w:hAnsi="Times New Roman" w:eastAsia="仿宋_GB2312" w:cs="Times New Roman"/>
          <w:b w:val="0"/>
          <w:color w:val="000000"/>
          <w:sz w:val="32"/>
          <w:szCs w:val="32"/>
        </w:rPr>
        <w:t>的加盟商作出限期停业整顿、罚款等严厉处罚，并在全国范围内对上述加盟商通报批评，以儆效尤。其直接后果是阻止加盟商让利于消费者，使消费者失去了通过价格竞争获取相对低价且优质服务的机会，损害了消费者</w:t>
      </w:r>
      <w:r>
        <w:rPr>
          <w:rFonts w:hint="eastAsia" w:ascii="Times New Roman" w:hAnsi="Times New Roman" w:eastAsia="仿宋_GB2312" w:cs="Times New Roman"/>
          <w:b w:val="0"/>
          <w:color w:val="000000"/>
          <w:sz w:val="32"/>
          <w:szCs w:val="32"/>
          <w:lang w:val="en-US" w:eastAsia="zh-CN"/>
        </w:rPr>
        <w:t>的</w:t>
      </w:r>
      <w:r>
        <w:rPr>
          <w:rFonts w:hint="eastAsia" w:ascii="Times New Roman" w:hAnsi="Times New Roman" w:eastAsia="仿宋_GB2312" w:cs="Times New Roman"/>
          <w:b w:val="0"/>
          <w:color w:val="000000"/>
          <w:sz w:val="32"/>
          <w:szCs w:val="32"/>
        </w:rPr>
        <w:t>经济利益。若相关市场经营者均采用</w:t>
      </w:r>
      <w:r>
        <w:rPr>
          <w:rFonts w:hint="eastAsia" w:ascii="Times New Roman" w:hAnsi="Times New Roman" w:eastAsia="仿宋_GB2312" w:cs="Times New Roman"/>
          <w:b w:val="0"/>
          <w:color w:val="000000"/>
          <w:sz w:val="32"/>
          <w:szCs w:val="32"/>
          <w:lang w:val="en-US" w:eastAsia="zh-CN"/>
        </w:rPr>
        <w:t>固定转售价格的</w:t>
      </w:r>
      <w:r>
        <w:rPr>
          <w:rFonts w:hint="eastAsia" w:ascii="Times New Roman" w:hAnsi="Times New Roman" w:eastAsia="仿宋_GB2312" w:cs="Times New Roman"/>
          <w:b w:val="0"/>
          <w:color w:val="000000"/>
          <w:sz w:val="32"/>
          <w:szCs w:val="32"/>
        </w:rPr>
        <w:t>手段，</w:t>
      </w:r>
      <w:r>
        <w:rPr>
          <w:rFonts w:hint="eastAsia" w:ascii="Times New Roman" w:hAnsi="Times New Roman" w:eastAsia="仿宋_GB2312" w:cs="Times New Roman"/>
          <w:b w:val="0"/>
          <w:color w:val="000000"/>
          <w:sz w:val="32"/>
          <w:szCs w:val="32"/>
          <w:lang w:val="en-US" w:eastAsia="zh-CN"/>
        </w:rPr>
        <w:t>人为使</w:t>
      </w:r>
      <w:r>
        <w:rPr>
          <w:rFonts w:hint="eastAsia" w:ascii="Times New Roman" w:hAnsi="Times New Roman" w:eastAsia="仿宋_GB2312" w:cs="Times New Roman"/>
          <w:b w:val="0"/>
          <w:color w:val="000000"/>
          <w:sz w:val="32"/>
          <w:szCs w:val="32"/>
        </w:rPr>
        <w:t>相关产品和服务</w:t>
      </w:r>
      <w:r>
        <w:rPr>
          <w:rFonts w:hint="eastAsia" w:ascii="Times New Roman" w:hAnsi="Times New Roman" w:eastAsia="仿宋_GB2312" w:cs="Times New Roman"/>
          <w:b w:val="0"/>
          <w:color w:val="000000"/>
          <w:sz w:val="32"/>
          <w:szCs w:val="32"/>
          <w:lang w:val="en-US" w:eastAsia="zh-CN"/>
        </w:rPr>
        <w:t>价格高于市场自由</w:t>
      </w:r>
      <w:r>
        <w:rPr>
          <w:rFonts w:hint="eastAsia" w:ascii="Times New Roman" w:hAnsi="Times New Roman" w:eastAsia="仿宋_GB2312" w:cs="Times New Roman"/>
          <w:b w:val="0"/>
          <w:color w:val="000000"/>
          <w:sz w:val="32"/>
          <w:szCs w:val="32"/>
        </w:rPr>
        <w:t>竞争</w:t>
      </w:r>
      <w:r>
        <w:rPr>
          <w:rFonts w:hint="eastAsia" w:ascii="Times New Roman" w:hAnsi="Times New Roman" w:eastAsia="仿宋_GB2312" w:cs="Times New Roman"/>
          <w:b w:val="0"/>
          <w:color w:val="000000"/>
          <w:sz w:val="32"/>
          <w:szCs w:val="32"/>
          <w:lang w:val="en-US" w:eastAsia="zh-CN"/>
        </w:rPr>
        <w:t>的结果</w:t>
      </w:r>
      <w:r>
        <w:rPr>
          <w:rFonts w:hint="eastAsia" w:ascii="Times New Roman" w:hAnsi="Times New Roman" w:eastAsia="仿宋_GB2312" w:cs="Times New Roman"/>
          <w:b w:val="0"/>
          <w:color w:val="000000"/>
          <w:sz w:val="32"/>
          <w:szCs w:val="32"/>
        </w:rPr>
        <w:t>，将加重</w:t>
      </w:r>
      <w:r>
        <w:rPr>
          <w:rFonts w:hint="eastAsia" w:ascii="Times New Roman" w:hAnsi="Times New Roman" w:eastAsia="仿宋_GB2312" w:cs="Times New Roman"/>
          <w:b w:val="0"/>
          <w:color w:val="000000"/>
          <w:sz w:val="32"/>
          <w:szCs w:val="32"/>
          <w:lang w:val="en-US" w:eastAsia="zh-CN"/>
        </w:rPr>
        <w:t>消费者</w:t>
      </w:r>
      <w:r>
        <w:rPr>
          <w:rFonts w:hint="eastAsia" w:ascii="Times New Roman" w:hAnsi="Times New Roman" w:eastAsia="仿宋_GB2312" w:cs="Times New Roman"/>
          <w:b w:val="0"/>
          <w:color w:val="000000"/>
          <w:sz w:val="32"/>
          <w:szCs w:val="32"/>
        </w:rPr>
        <w:t>家庭经济负担，削弱人民群众的获得感</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lang w:val="en-US" w:eastAsia="zh-CN"/>
        </w:rPr>
        <w:t>增加</w:t>
      </w:r>
      <w:r>
        <w:rPr>
          <w:rFonts w:hint="eastAsia" w:eastAsia="仿宋_GB2312"/>
          <w:sz w:val="32"/>
          <w:szCs w:val="32"/>
        </w:rPr>
        <w:t>社会支出成本，损害消费者合法权益和社会公共利益。</w:t>
      </w:r>
    </w:p>
    <w:p>
      <w:pPr>
        <w:keepNext w:val="0"/>
        <w:keepLines w:val="0"/>
        <w:pageBreakBefore w:val="0"/>
        <w:kinsoku/>
        <w:wordWrap/>
        <w:overflowPunct/>
        <w:topLinePunct w:val="0"/>
        <w:autoSpaceDE/>
        <w:autoSpaceDN/>
        <w:bidi w:val="0"/>
        <w:adjustRightInd/>
        <w:snapToGrid/>
        <w:spacing w:line="578" w:lineRule="exact"/>
        <w:ind w:firstLine="640" w:firstLineChars="200"/>
        <w:outlineLvl w:val="9"/>
        <w:rPr>
          <w:rFonts w:hint="eastAsia" w:ascii="Times New Roman" w:hAnsi="Times New Roman" w:eastAsia="仿宋_GB2312" w:cs="Times New Roman"/>
          <w:b w:val="0"/>
          <w:color w:val="000000"/>
          <w:sz w:val="32"/>
          <w:szCs w:val="32"/>
          <w:lang w:eastAsia="zh-CN"/>
        </w:rPr>
      </w:pPr>
      <w:r>
        <w:rPr>
          <w:rFonts w:hint="eastAsia" w:ascii="Times New Roman" w:hAnsi="Times New Roman" w:eastAsia="仿宋_GB2312" w:cs="Times New Roman"/>
          <w:b w:val="0"/>
          <w:color w:val="000000"/>
          <w:sz w:val="32"/>
          <w:szCs w:val="32"/>
        </w:rPr>
        <w:t>以上事实有从</w:t>
      </w:r>
      <w:r>
        <w:rPr>
          <w:rFonts w:hint="eastAsia" w:ascii="Times New Roman" w:hAnsi="Times New Roman" w:eastAsia="仿宋_GB2312" w:cs="Times New Roman"/>
          <w:b w:val="0"/>
          <w:color w:val="000000"/>
          <w:sz w:val="32"/>
          <w:szCs w:val="32"/>
          <w:lang w:val="en-US" w:eastAsia="zh-CN"/>
        </w:rPr>
        <w:t>当事人处</w:t>
      </w:r>
      <w:r>
        <w:rPr>
          <w:rFonts w:hint="eastAsia" w:ascii="Times New Roman" w:hAnsi="Times New Roman" w:eastAsia="仿宋_GB2312" w:cs="Times New Roman"/>
          <w:b w:val="0"/>
          <w:color w:val="000000"/>
          <w:sz w:val="32"/>
          <w:szCs w:val="32"/>
        </w:rPr>
        <w:t>提取的合作协议、特许经营协议、规章制度、调价申请单、罚款缴纳凭证及律师函复印件</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邮件及微信聊天记录截屏</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财务数据</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询问笔录</w:t>
      </w:r>
      <w:r>
        <w:rPr>
          <w:rFonts w:hint="eastAsia" w:ascii="Times New Roman" w:hAnsi="Times New Roman" w:eastAsia="仿宋_GB2312" w:cs="Times New Roman"/>
          <w:b w:val="0"/>
          <w:color w:val="000000"/>
          <w:sz w:val="32"/>
          <w:szCs w:val="32"/>
          <w:lang w:val="en-US" w:eastAsia="zh-CN"/>
        </w:rPr>
        <w:t>以及</w:t>
      </w:r>
      <w:r>
        <w:rPr>
          <w:rFonts w:hint="eastAsia" w:ascii="Times New Roman" w:hAnsi="Times New Roman" w:eastAsia="仿宋_GB2312" w:cs="Times New Roman"/>
          <w:b w:val="0"/>
          <w:color w:val="000000"/>
          <w:sz w:val="32"/>
          <w:szCs w:val="32"/>
        </w:rPr>
        <w:t>从加盟商处提取的邮件截屏、规章制度复印件、询问笔录等证据证明</w:t>
      </w:r>
      <w:r>
        <w:rPr>
          <w:rFonts w:hint="eastAsia" w:ascii="Times New Roman" w:hAnsi="Times New Roman" w:eastAsia="仿宋_GB2312" w:cs="Times New Roman"/>
          <w:b w:val="0"/>
          <w:color w:val="000000"/>
          <w:sz w:val="32"/>
          <w:szCs w:val="32"/>
          <w:lang w:eastAsia="zh-CN"/>
        </w:rPr>
        <w:t>。</w:t>
      </w:r>
    </w:p>
    <w:p>
      <w:pPr>
        <w:keepNext w:val="0"/>
        <w:keepLines w:val="0"/>
        <w:pageBreakBefore w:val="0"/>
        <w:kinsoku/>
        <w:wordWrap/>
        <w:overflowPunct/>
        <w:topLinePunct w:val="0"/>
        <w:autoSpaceDE/>
        <w:autoSpaceDN/>
        <w:bidi w:val="0"/>
        <w:adjustRightInd/>
        <w:snapToGrid/>
        <w:spacing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color w:val="000000"/>
          <w:sz w:val="32"/>
          <w:szCs w:val="32"/>
        </w:rPr>
        <w:t>针对上述事实和证据，当事人提出</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lang w:val="en-US" w:eastAsia="zh-CN"/>
        </w:rPr>
        <w:t>作为</w:t>
      </w:r>
      <w:r>
        <w:rPr>
          <w:rFonts w:hint="eastAsia" w:ascii="Times New Roman" w:hAnsi="Times New Roman" w:eastAsia="仿宋_GB2312" w:cs="Times New Roman"/>
          <w:b w:val="0"/>
          <w:color w:val="000000"/>
          <w:sz w:val="32"/>
          <w:szCs w:val="32"/>
        </w:rPr>
        <w:t>英语教育行业商业特许经营者，</w:t>
      </w:r>
      <w:r>
        <w:rPr>
          <w:rFonts w:hint="eastAsia" w:ascii="Times New Roman" w:hAnsi="Times New Roman" w:eastAsia="仿宋_GB2312" w:cs="Times New Roman"/>
          <w:b w:val="0"/>
          <w:color w:val="000000"/>
          <w:sz w:val="32"/>
          <w:szCs w:val="32"/>
          <w:lang w:val="en-US" w:eastAsia="zh-CN"/>
        </w:rPr>
        <w:t>其</w:t>
      </w:r>
      <w:r>
        <w:rPr>
          <w:rFonts w:hint="eastAsia" w:ascii="Times New Roman" w:hAnsi="Times New Roman" w:eastAsia="仿宋_GB2312" w:cs="Times New Roman"/>
          <w:b w:val="0"/>
          <w:color w:val="000000"/>
          <w:sz w:val="32"/>
          <w:szCs w:val="32"/>
        </w:rPr>
        <w:t>价格</w:t>
      </w:r>
      <w:r>
        <w:rPr>
          <w:rFonts w:hint="eastAsia" w:ascii="Times New Roman" w:hAnsi="Times New Roman" w:eastAsia="仿宋_GB2312" w:cs="Times New Roman"/>
          <w:b w:val="0"/>
          <w:color w:val="000000"/>
          <w:sz w:val="32"/>
          <w:szCs w:val="32"/>
          <w:lang w:val="en-US" w:eastAsia="zh-CN"/>
        </w:rPr>
        <w:t>控制</w:t>
      </w:r>
      <w:r>
        <w:rPr>
          <w:rFonts w:hint="eastAsia" w:ascii="Times New Roman" w:hAnsi="Times New Roman" w:eastAsia="仿宋_GB2312" w:cs="Times New Roman"/>
          <w:b w:val="0"/>
          <w:color w:val="000000"/>
          <w:sz w:val="32"/>
          <w:szCs w:val="32"/>
        </w:rPr>
        <w:t>条款属于《反垄断法》第十五条第（七）项“法律和国务院规定的其他情形”豁免情形</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lang w:val="en-US" w:eastAsia="zh-CN"/>
        </w:rPr>
        <w:t>其</w:t>
      </w:r>
      <w:r>
        <w:rPr>
          <w:rFonts w:hint="eastAsia" w:ascii="Times New Roman" w:hAnsi="Times New Roman" w:eastAsia="仿宋_GB2312" w:cs="Times New Roman"/>
          <w:b w:val="0"/>
          <w:color w:val="000000"/>
          <w:sz w:val="32"/>
          <w:szCs w:val="32"/>
        </w:rPr>
        <w:t>未对校区进行价格干预</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证明材料为北京亦庄生活广场中心</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北京东城东方银座中心</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天津津南新华城市广场中心</w:t>
      </w:r>
      <w:r>
        <w:rPr>
          <w:rFonts w:hint="eastAsia" w:ascii="Times New Roman" w:hAnsi="Times New Roman" w:eastAsia="仿宋_GB2312" w:cs="Times New Roman"/>
          <w:b w:val="0"/>
          <w:color w:val="000000"/>
          <w:sz w:val="32"/>
          <w:szCs w:val="32"/>
          <w:lang w:val="en-US" w:eastAsia="zh-CN"/>
        </w:rPr>
        <w:t>某时间段部分</w:t>
      </w:r>
      <w:r>
        <w:rPr>
          <w:rFonts w:hint="eastAsia" w:ascii="Times New Roman" w:hAnsi="Times New Roman" w:eastAsia="仿宋_GB2312" w:cs="Times New Roman"/>
          <w:b w:val="0"/>
          <w:color w:val="000000"/>
          <w:sz w:val="32"/>
          <w:szCs w:val="32"/>
        </w:rPr>
        <w:t>学员的缴费单。</w:t>
      </w:r>
    </w:p>
    <w:p>
      <w:pPr>
        <w:keepNext w:val="0"/>
        <w:keepLines w:val="0"/>
        <w:pageBreakBefore w:val="0"/>
        <w:kinsoku/>
        <w:wordWrap/>
        <w:overflowPunct/>
        <w:topLinePunct w:val="0"/>
        <w:autoSpaceDE/>
        <w:autoSpaceDN/>
        <w:bidi w:val="0"/>
        <w:adjustRightInd/>
        <w:snapToGrid/>
        <w:spacing w:line="578" w:lineRule="exact"/>
        <w:ind w:firstLine="640" w:firstLineChars="200"/>
        <w:outlineLvl w:val="9"/>
        <w:rPr>
          <w:rFonts w:hint="eastAsia" w:ascii="Times New Roman" w:hAnsi="Times New Roman" w:eastAsia="仿宋_GB2312" w:cs="Times New Roman"/>
          <w:b w:val="0"/>
          <w:color w:val="000000"/>
          <w:sz w:val="32"/>
          <w:szCs w:val="32"/>
          <w:lang w:eastAsia="zh-CN"/>
        </w:rPr>
      </w:pPr>
      <w:r>
        <w:rPr>
          <w:rFonts w:hint="eastAsia" w:ascii="Times New Roman" w:hAnsi="Times New Roman" w:eastAsia="仿宋_GB2312" w:cs="Times New Roman"/>
          <w:b w:val="0"/>
          <w:color w:val="000000"/>
          <w:sz w:val="32"/>
          <w:szCs w:val="32"/>
        </w:rPr>
        <w:t>经多次专家研讨会论证及与相关部委、企业座谈，</w:t>
      </w:r>
      <w:r>
        <w:rPr>
          <w:rFonts w:hint="eastAsia" w:ascii="Times New Roman" w:hAnsi="Times New Roman" w:eastAsia="仿宋_GB2312" w:cs="Times New Roman"/>
          <w:b w:val="0"/>
          <w:color w:val="000000"/>
          <w:sz w:val="32"/>
          <w:szCs w:val="32"/>
          <w:lang w:eastAsia="zh-CN"/>
        </w:rPr>
        <w:t>本机关认为当事人提出的上述意见不能成立，主要理由</w:t>
      </w:r>
      <w:r>
        <w:rPr>
          <w:rFonts w:hint="eastAsia" w:ascii="Times New Roman" w:hAnsi="Times New Roman" w:eastAsia="仿宋_GB2312" w:cs="Times New Roman"/>
          <w:b w:val="0"/>
          <w:color w:val="000000"/>
          <w:sz w:val="32"/>
          <w:szCs w:val="32"/>
          <w:lang w:val="en-US" w:eastAsia="zh-CN"/>
        </w:rPr>
        <w:t>如下</w:t>
      </w:r>
      <w:r>
        <w:rPr>
          <w:rFonts w:hint="eastAsia" w:ascii="Times New Roman" w:hAnsi="Times New Roman" w:eastAsia="仿宋_GB2312" w:cs="Times New Roman"/>
          <w:b w:val="0"/>
          <w:color w:val="000000"/>
          <w:sz w:val="32"/>
          <w:szCs w:val="32"/>
          <w:lang w:eastAsia="zh-CN"/>
        </w:rPr>
        <w:t>：</w:t>
      </w:r>
    </w:p>
    <w:p>
      <w:pPr>
        <w:keepNext w:val="0"/>
        <w:keepLines w:val="0"/>
        <w:pageBreakBefore w:val="0"/>
        <w:numPr>
          <w:ilvl w:val="-1"/>
          <w:numId w:val="0"/>
        </w:numPr>
        <w:kinsoku/>
        <w:wordWrap/>
        <w:topLinePunct w:val="0"/>
        <w:bidi w:val="0"/>
        <w:snapToGrid/>
        <w:spacing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bCs w:val="0"/>
          <w:color w:val="000000"/>
          <w:sz w:val="32"/>
          <w:szCs w:val="32"/>
          <w:lang w:val="en-US" w:eastAsia="zh-CN"/>
        </w:rPr>
        <w:t>一是当事人不符合</w:t>
      </w:r>
      <w:r>
        <w:rPr>
          <w:rFonts w:hint="eastAsia" w:ascii="Times New Roman" w:hAnsi="Times New Roman" w:eastAsia="仿宋_GB2312" w:cs="Times New Roman"/>
          <w:b w:val="0"/>
          <w:bCs w:val="0"/>
          <w:color w:val="000000"/>
          <w:sz w:val="32"/>
          <w:szCs w:val="32"/>
        </w:rPr>
        <w:t>《反垄断法》第十五条第（七）项豁免情形</w:t>
      </w:r>
      <w:r>
        <w:rPr>
          <w:rFonts w:hint="eastAsia" w:ascii="Times New Roman" w:hAnsi="Times New Roman" w:eastAsia="仿宋_GB2312" w:cs="Times New Roman"/>
          <w:b w:val="0"/>
          <w:bCs w:val="0"/>
          <w:color w:val="000000"/>
          <w:sz w:val="32"/>
          <w:szCs w:val="32"/>
          <w:lang w:eastAsia="zh-CN"/>
        </w:rPr>
        <w:t>。</w:t>
      </w:r>
      <w:r>
        <w:rPr>
          <w:rFonts w:hint="eastAsia" w:ascii="Times New Roman" w:hAnsi="Times New Roman" w:eastAsia="仿宋_GB2312" w:cs="Times New Roman"/>
          <w:b w:val="0"/>
          <w:color w:val="000000"/>
          <w:sz w:val="32"/>
          <w:szCs w:val="32"/>
        </w:rPr>
        <w:t>现行有效的涉及特许经营管理的法规及部门规章均未规定</w:t>
      </w:r>
      <w:r>
        <w:rPr>
          <w:rFonts w:hint="eastAsia" w:ascii="Times New Roman" w:hAnsi="Times New Roman" w:eastAsia="仿宋_GB2312" w:cs="Times New Roman"/>
          <w:b w:val="0"/>
          <w:color w:val="000000"/>
          <w:sz w:val="32"/>
          <w:szCs w:val="32"/>
          <w:lang w:val="en-US" w:eastAsia="zh-CN"/>
        </w:rPr>
        <w:t>固定转售价格</w:t>
      </w:r>
      <w:r>
        <w:rPr>
          <w:rFonts w:hint="eastAsia" w:ascii="Times New Roman" w:hAnsi="Times New Roman" w:eastAsia="仿宋_GB2312" w:cs="Times New Roman"/>
          <w:b w:val="0"/>
          <w:color w:val="000000"/>
          <w:sz w:val="32"/>
          <w:szCs w:val="32"/>
        </w:rPr>
        <w:t>条款是特许经营统一商业模式中</w:t>
      </w:r>
      <w:r>
        <w:rPr>
          <w:rFonts w:hint="eastAsia" w:ascii="Times New Roman" w:hAnsi="Times New Roman" w:eastAsia="仿宋_GB2312" w:cs="Times New Roman"/>
          <w:b w:val="0"/>
          <w:color w:val="000000"/>
          <w:sz w:val="32"/>
          <w:szCs w:val="32"/>
          <w:lang w:val="en-US" w:eastAsia="zh-CN"/>
        </w:rPr>
        <w:t>的</w:t>
      </w:r>
      <w:r>
        <w:rPr>
          <w:rFonts w:hint="eastAsia" w:ascii="Times New Roman" w:hAnsi="Times New Roman" w:eastAsia="仿宋_GB2312" w:cs="Times New Roman"/>
          <w:b w:val="0"/>
          <w:color w:val="000000"/>
          <w:sz w:val="32"/>
          <w:szCs w:val="32"/>
        </w:rPr>
        <w:t>必要组成部分。</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引用的</w:t>
      </w:r>
      <w:r>
        <w:rPr>
          <w:rFonts w:hint="eastAsia" w:ascii="Times New Roman" w:hAnsi="Times New Roman" w:eastAsia="仿宋_GB2312" w:cs="Times New Roman"/>
          <w:b w:val="0"/>
          <w:color w:val="000000"/>
          <w:sz w:val="32"/>
          <w:szCs w:val="32"/>
          <w:lang w:val="en-US" w:eastAsia="zh-CN"/>
        </w:rPr>
        <w:t>在线解答、合同示范文本等</w:t>
      </w:r>
      <w:r>
        <w:rPr>
          <w:rFonts w:hint="eastAsia" w:ascii="Times New Roman" w:hAnsi="Times New Roman" w:eastAsia="仿宋_GB2312" w:cs="Times New Roman"/>
          <w:b w:val="0"/>
          <w:color w:val="000000"/>
          <w:sz w:val="32"/>
          <w:szCs w:val="32"/>
        </w:rPr>
        <w:t>材料不属于法律和国务院规定的其他情形。</w:t>
      </w:r>
    </w:p>
    <w:p>
      <w:pPr>
        <w:keepNext w:val="0"/>
        <w:keepLines w:val="0"/>
        <w:pageBreakBefore w:val="0"/>
        <w:kinsoku/>
        <w:wordWrap/>
        <w:topLinePunct w:val="0"/>
        <w:bidi w:val="0"/>
        <w:snapToGrid/>
        <w:spacing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未能证明</w:t>
      </w:r>
      <w:r>
        <w:rPr>
          <w:rFonts w:hint="eastAsia" w:ascii="Times New Roman" w:hAnsi="Times New Roman" w:eastAsia="仿宋_GB2312" w:cs="Times New Roman"/>
          <w:b w:val="0"/>
          <w:color w:val="000000"/>
          <w:sz w:val="32"/>
          <w:szCs w:val="32"/>
          <w:lang w:val="en-US" w:eastAsia="zh-CN"/>
        </w:rPr>
        <w:t>固定转售价格</w:t>
      </w:r>
      <w:r>
        <w:rPr>
          <w:rFonts w:hint="eastAsia" w:ascii="Times New Roman" w:hAnsi="Times New Roman" w:eastAsia="仿宋_GB2312" w:cs="Times New Roman"/>
          <w:b w:val="0"/>
          <w:color w:val="000000"/>
          <w:sz w:val="32"/>
          <w:szCs w:val="32"/>
        </w:rPr>
        <w:t>条款是维护</w:t>
      </w:r>
      <w:r>
        <w:rPr>
          <w:rFonts w:hint="eastAsia" w:ascii="Times New Roman" w:hAnsi="Times New Roman" w:eastAsia="仿宋_GB2312" w:cs="Times New Roman"/>
          <w:b w:val="0"/>
          <w:color w:val="000000"/>
          <w:sz w:val="32"/>
          <w:szCs w:val="32"/>
          <w:lang w:val="en-US" w:eastAsia="zh-CN"/>
        </w:rPr>
        <w:t>其</w:t>
      </w:r>
      <w:r>
        <w:rPr>
          <w:rFonts w:hint="eastAsia" w:ascii="Times New Roman" w:hAnsi="Times New Roman" w:eastAsia="仿宋_GB2312" w:cs="Times New Roman"/>
          <w:b w:val="0"/>
          <w:color w:val="000000"/>
          <w:sz w:val="32"/>
          <w:szCs w:val="32"/>
        </w:rPr>
        <w:t>统一经营模式以及品牌一致性的必要因素，也未证明所达成的协议不会严重限制相关市场的竞争，并且能够使消费者分享由此产生的利益。在2021年9月2日国家发展改革委、教育部、市场监管总局出台《关于加强义务教育阶段学科类校外培训收费监管的通知》（发改价格〔2021〕1279号）前，英语校外培训收费属于市场调节价，由经营者依据生产经营成本和市场供需情况自行制定收费标准。</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各加盟商主要经营成本是房租和人员工资，二者受所在地区经济发展水平、所处商圈地段、个人资历等因素影响存在较大差异。这种非标准化的成本导致不同城市加盟商、同一城市不同地段加盟商的运营成本千差万别。市场供求由同一区域同行业竞品数量、所在区域消费者需求结构等因素决定，即便是同一城市的不同区域，情况也</w:t>
      </w:r>
      <w:r>
        <w:rPr>
          <w:rFonts w:hint="eastAsia" w:ascii="Times New Roman" w:hAnsi="Times New Roman" w:eastAsia="仿宋_GB2312" w:cs="Times New Roman"/>
          <w:b w:val="0"/>
          <w:color w:val="000000"/>
          <w:sz w:val="32"/>
          <w:szCs w:val="32"/>
          <w:lang w:val="en-US" w:eastAsia="zh-CN"/>
        </w:rPr>
        <w:t>可能</w:t>
      </w:r>
      <w:r>
        <w:rPr>
          <w:rFonts w:hint="eastAsia" w:ascii="Times New Roman" w:hAnsi="Times New Roman" w:eastAsia="仿宋_GB2312" w:cs="Times New Roman"/>
          <w:b w:val="0"/>
          <w:color w:val="000000"/>
          <w:sz w:val="32"/>
          <w:szCs w:val="32"/>
        </w:rPr>
        <w:t>截然不同。市场价格本应是经营者充分竞争的结果，</w:t>
      </w:r>
      <w:r>
        <w:rPr>
          <w:rFonts w:hint="eastAsia" w:ascii="Times New Roman" w:hAnsi="Times New Roman" w:eastAsia="仿宋_GB2312" w:cs="Times New Roman"/>
          <w:b w:val="0"/>
          <w:color w:val="000000"/>
          <w:sz w:val="32"/>
          <w:szCs w:val="32"/>
          <w:lang w:val="en-US" w:eastAsia="zh-CN"/>
        </w:rPr>
        <w:t>而当事人</w:t>
      </w:r>
      <w:r>
        <w:rPr>
          <w:rFonts w:hint="eastAsia" w:ascii="Times New Roman" w:hAnsi="Times New Roman" w:eastAsia="仿宋_GB2312" w:cs="Times New Roman"/>
          <w:b w:val="0"/>
          <w:color w:val="000000"/>
          <w:sz w:val="32"/>
          <w:szCs w:val="32"/>
        </w:rPr>
        <w:t>价格管控体系剥夺了加盟商作为独立经营主体的自主定价权，实施目的及实际效果不仅与《商业特许经营管理条例》中自愿、公平的立法宗旨相悖，损害了加盟商利益，还对市场公平竞争秩序造成了干扰。</w:t>
      </w:r>
    </w:p>
    <w:p>
      <w:pPr>
        <w:keepNext w:val="0"/>
        <w:keepLines w:val="0"/>
        <w:pageBreakBefore w:val="0"/>
        <w:kinsoku/>
        <w:wordWrap/>
        <w:topLinePunct w:val="0"/>
        <w:bidi w:val="0"/>
        <w:snapToGrid/>
        <w:spacing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color w:val="000000"/>
          <w:sz w:val="32"/>
          <w:szCs w:val="32"/>
          <w:lang w:val="en-US" w:eastAsia="zh-CN"/>
        </w:rPr>
        <w:t>二是</w:t>
      </w:r>
      <w:r>
        <w:rPr>
          <w:rFonts w:hint="eastAsia" w:ascii="Times New Roman" w:hAnsi="Times New Roman" w:eastAsia="仿宋_GB2312" w:cs="Times New Roman"/>
          <w:b w:val="0"/>
          <w:color w:val="000000"/>
          <w:sz w:val="32"/>
          <w:szCs w:val="32"/>
        </w:rPr>
        <w:t>个别收费差异不影响对</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垄断行为的判定</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提供三个校区不同日期的收费单</w:t>
      </w:r>
      <w:r>
        <w:rPr>
          <w:rFonts w:hint="eastAsia" w:ascii="Times New Roman" w:hAnsi="Times New Roman" w:eastAsia="仿宋_GB2312" w:cs="Times New Roman"/>
          <w:b w:val="0"/>
          <w:color w:val="000000"/>
          <w:sz w:val="32"/>
          <w:szCs w:val="32"/>
          <w:lang w:val="en-US" w:eastAsia="zh-CN"/>
        </w:rPr>
        <w:t>用</w:t>
      </w:r>
      <w:r>
        <w:rPr>
          <w:rFonts w:hint="eastAsia" w:ascii="Times New Roman" w:hAnsi="Times New Roman" w:eastAsia="仿宋_GB2312" w:cs="Times New Roman"/>
          <w:b w:val="0"/>
          <w:color w:val="000000"/>
          <w:sz w:val="32"/>
          <w:szCs w:val="32"/>
        </w:rPr>
        <w:t>以证明未实施</w:t>
      </w:r>
      <w:r>
        <w:rPr>
          <w:rFonts w:hint="eastAsia" w:ascii="Times New Roman" w:hAnsi="Times New Roman" w:eastAsia="仿宋_GB2312" w:cs="Times New Roman"/>
          <w:b w:val="0"/>
          <w:color w:val="000000"/>
          <w:sz w:val="32"/>
          <w:szCs w:val="32"/>
          <w:lang w:val="en-US" w:eastAsia="zh-CN"/>
        </w:rPr>
        <w:t>价格管控</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lang w:val="en-US" w:eastAsia="zh-CN"/>
        </w:rPr>
        <w:t>其</w:t>
      </w:r>
      <w:r>
        <w:rPr>
          <w:rFonts w:hint="eastAsia" w:ascii="Times New Roman" w:hAnsi="Times New Roman" w:eastAsia="仿宋_GB2312" w:cs="Times New Roman"/>
          <w:b w:val="0"/>
          <w:color w:val="000000"/>
          <w:sz w:val="32"/>
          <w:szCs w:val="32"/>
        </w:rPr>
        <w:t>所列举的北京两个校区均为直营店，并非加盟商，不属于本案论述的上下游</w:t>
      </w:r>
      <w:r>
        <w:rPr>
          <w:rFonts w:hint="eastAsia" w:ascii="Times New Roman" w:hAnsi="Times New Roman" w:eastAsia="仿宋_GB2312" w:cs="Times New Roman"/>
          <w:b w:val="0"/>
          <w:color w:val="000000"/>
          <w:sz w:val="32"/>
          <w:szCs w:val="32"/>
          <w:lang w:val="en-US" w:eastAsia="zh-CN"/>
        </w:rPr>
        <w:t>转售</w:t>
      </w:r>
      <w:r>
        <w:rPr>
          <w:rFonts w:hint="eastAsia" w:ascii="Times New Roman" w:hAnsi="Times New Roman" w:eastAsia="仿宋_GB2312" w:cs="Times New Roman"/>
          <w:b w:val="0"/>
          <w:color w:val="000000"/>
          <w:sz w:val="32"/>
          <w:szCs w:val="32"/>
        </w:rPr>
        <w:t>关系。虽然天津校区为加盟商，但</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达成并实施垄断协议事实清楚，证据充分，即便出现加盟商个别收费差异，亦不影响本案定性。</w:t>
      </w:r>
    </w:p>
    <w:p>
      <w:pPr>
        <w:keepNext w:val="0"/>
        <w:keepLines w:val="0"/>
        <w:pageBreakBefore w:val="0"/>
        <w:kinsoku/>
        <w:wordWrap/>
        <w:topLinePunct w:val="0"/>
        <w:bidi w:val="0"/>
        <w:snapToGrid/>
        <w:spacing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黑体" w:cs="Times New Roman"/>
          <w:b w:val="0"/>
          <w:color w:val="auto"/>
          <w:sz w:val="32"/>
          <w:szCs w:val="32"/>
          <w:lang w:val="en-US" w:eastAsia="zh-CN"/>
        </w:rPr>
        <w:t>四</w:t>
      </w:r>
      <w:r>
        <w:rPr>
          <w:rFonts w:hint="default" w:ascii="Times New Roman" w:hAnsi="Times New Roman" w:eastAsia="黑体" w:cs="Times New Roman"/>
          <w:b w:val="0"/>
          <w:color w:val="auto"/>
          <w:sz w:val="32"/>
          <w:szCs w:val="32"/>
        </w:rPr>
        <w:t>、</w:t>
      </w:r>
      <w:r>
        <w:rPr>
          <w:rFonts w:ascii="Times New Roman" w:hAnsi="Times New Roman" w:eastAsia="黑体" w:cs="Times New Roman"/>
          <w:sz w:val="32"/>
          <w:szCs w:val="32"/>
        </w:rPr>
        <w:t>行政处罚依据和决定</w:t>
      </w:r>
    </w:p>
    <w:p>
      <w:pPr>
        <w:keepNext w:val="0"/>
        <w:keepLines w:val="0"/>
        <w:pageBreakBefore w:val="0"/>
        <w:kinsoku/>
        <w:wordWrap/>
        <w:topLinePunct w:val="0"/>
        <w:bidi w:val="0"/>
        <w:snapToGrid/>
        <w:spacing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color w:val="000000"/>
          <w:sz w:val="32"/>
          <w:szCs w:val="32"/>
        </w:rPr>
        <w:t>本机关认定，当事人的行为违反了《反垄断法》第十四条“禁止经营者与交易相对人达成下列垄断协议：（一）固定向第三人转售商品的价格”的规定。</w:t>
      </w:r>
    </w:p>
    <w:p>
      <w:pPr>
        <w:keepNext w:val="0"/>
        <w:keepLines w:val="0"/>
        <w:pageBreakBefore w:val="0"/>
        <w:kinsoku/>
        <w:wordWrap/>
        <w:topLinePunct w:val="0"/>
        <w:bidi w:val="0"/>
        <w:snapToGrid/>
        <w:spacing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违法所得主要涉及对违反协议中价格条款的加盟商收取的罚款。因实际收取的罚款往往不只是针对违反价格条款这一项，还涉及未经验收私自开业</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lang w:val="en-US" w:eastAsia="zh-CN"/>
        </w:rPr>
        <w:t>未录入系统</w:t>
      </w:r>
      <w:r>
        <w:rPr>
          <w:rFonts w:hint="eastAsia" w:ascii="Times New Roman" w:hAnsi="Times New Roman" w:eastAsia="仿宋_GB2312" w:cs="Times New Roman"/>
          <w:b w:val="0"/>
          <w:color w:val="000000"/>
          <w:sz w:val="32"/>
          <w:szCs w:val="32"/>
        </w:rPr>
        <w:t>等与价格条款无关的其他违约情形</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而</w:t>
      </w:r>
      <w:r>
        <w:rPr>
          <w:rFonts w:hint="eastAsia" w:ascii="Times New Roman" w:hAnsi="Times New Roman" w:eastAsia="仿宋_GB2312" w:cs="Times New Roman"/>
          <w:b w:val="0"/>
          <w:color w:val="000000"/>
          <w:sz w:val="32"/>
          <w:szCs w:val="32"/>
          <w:lang w:val="en-US" w:eastAsia="zh-CN"/>
        </w:rPr>
        <w:t>当事人</w:t>
      </w:r>
      <w:r>
        <w:rPr>
          <w:rFonts w:hint="eastAsia" w:ascii="Times New Roman" w:hAnsi="Times New Roman" w:eastAsia="仿宋_GB2312" w:cs="Times New Roman"/>
          <w:b w:val="0"/>
          <w:color w:val="000000"/>
          <w:sz w:val="32"/>
          <w:szCs w:val="32"/>
        </w:rPr>
        <w:t>在处罚通知及内部财务操作中均未明确每项违约情形对应的罚款数额</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rPr>
        <w:t>因此无法将</w:t>
      </w:r>
      <w:r>
        <w:rPr>
          <w:rFonts w:hint="eastAsia" w:ascii="Times New Roman" w:hAnsi="Times New Roman" w:eastAsia="仿宋_GB2312" w:cs="Times New Roman"/>
          <w:b w:val="0"/>
          <w:color w:val="000000"/>
          <w:sz w:val="32"/>
          <w:szCs w:val="32"/>
          <w:lang w:val="en-US" w:eastAsia="zh-CN"/>
        </w:rPr>
        <w:t>针对</w:t>
      </w:r>
      <w:r>
        <w:rPr>
          <w:rFonts w:hint="eastAsia" w:ascii="Times New Roman" w:hAnsi="Times New Roman" w:eastAsia="仿宋_GB2312" w:cs="Times New Roman"/>
          <w:b w:val="0"/>
          <w:color w:val="000000"/>
          <w:sz w:val="32"/>
          <w:szCs w:val="32"/>
        </w:rPr>
        <w:t>价格</w:t>
      </w:r>
      <w:r>
        <w:rPr>
          <w:rFonts w:hint="eastAsia" w:ascii="Times New Roman" w:hAnsi="Times New Roman" w:eastAsia="仿宋_GB2312" w:cs="Times New Roman"/>
          <w:b w:val="0"/>
          <w:color w:val="000000"/>
          <w:sz w:val="32"/>
          <w:szCs w:val="32"/>
          <w:lang w:val="en-US" w:eastAsia="zh-CN"/>
        </w:rPr>
        <w:t>管控作</w:t>
      </w:r>
      <w:r>
        <w:rPr>
          <w:rFonts w:hint="eastAsia" w:ascii="Times New Roman" w:hAnsi="Times New Roman" w:eastAsia="仿宋_GB2312" w:cs="Times New Roman"/>
          <w:b w:val="0"/>
          <w:color w:val="000000"/>
          <w:sz w:val="32"/>
          <w:szCs w:val="32"/>
        </w:rPr>
        <w:t>出的罚款准确剥离，无法精确计算</w:t>
      </w:r>
      <w:r>
        <w:rPr>
          <w:rFonts w:hint="eastAsia" w:ascii="Times New Roman" w:hAnsi="Times New Roman" w:eastAsia="仿宋_GB2312" w:cs="Times New Roman"/>
          <w:b w:val="0"/>
          <w:color w:val="000000"/>
          <w:sz w:val="32"/>
          <w:szCs w:val="32"/>
          <w:lang w:val="en-US" w:eastAsia="zh-CN"/>
        </w:rPr>
        <w:t>罚款</w:t>
      </w:r>
      <w:r>
        <w:rPr>
          <w:rFonts w:hint="eastAsia" w:ascii="Times New Roman" w:hAnsi="Times New Roman" w:eastAsia="仿宋_GB2312" w:cs="Times New Roman"/>
          <w:b w:val="0"/>
          <w:color w:val="000000"/>
          <w:sz w:val="32"/>
          <w:szCs w:val="32"/>
        </w:rPr>
        <w:t>数额，故违法所得无法计算。</w:t>
      </w:r>
    </w:p>
    <w:p>
      <w:pPr>
        <w:keepNext w:val="0"/>
        <w:keepLines w:val="0"/>
        <w:pageBreakBefore w:val="0"/>
        <w:kinsoku/>
        <w:wordWrap/>
        <w:topLinePunct w:val="0"/>
        <w:bidi w:val="0"/>
        <w:snapToGrid/>
        <w:spacing w:line="578" w:lineRule="exact"/>
        <w:ind w:firstLine="640" w:firstLineChars="200"/>
        <w:outlineLvl w:val="9"/>
        <w:rPr>
          <w:rFonts w:hint="eastAsia" w:ascii="Times New Roman" w:hAnsi="Times New Roman" w:eastAsia="仿宋_GB2312" w:cs="Times New Roman"/>
          <w:b w:val="0"/>
          <w:color w:val="000000"/>
          <w:sz w:val="32"/>
          <w:szCs w:val="32"/>
        </w:rPr>
      </w:pPr>
      <w:r>
        <w:rPr>
          <w:rFonts w:hint="eastAsia" w:ascii="Times New Roman" w:hAnsi="Times New Roman" w:eastAsia="仿宋_GB2312" w:cs="Times New Roman"/>
          <w:b w:val="0"/>
          <w:color w:val="000000"/>
          <w:sz w:val="32"/>
          <w:szCs w:val="32"/>
        </w:rPr>
        <w:t>根据当事人提供</w:t>
      </w:r>
      <w:r>
        <w:rPr>
          <w:rFonts w:hint="eastAsia" w:ascii="Times New Roman" w:hAnsi="Times New Roman" w:eastAsia="仿宋_GB2312" w:cs="Times New Roman"/>
          <w:b w:val="0"/>
          <w:color w:val="000000"/>
          <w:sz w:val="32"/>
          <w:szCs w:val="32"/>
          <w:lang w:val="en-US" w:eastAsia="zh-CN"/>
        </w:rPr>
        <w:t>的大华会计师事务所</w:t>
      </w:r>
      <w:r>
        <w:rPr>
          <w:rFonts w:hint="eastAsia" w:ascii="Times New Roman" w:hAnsi="Times New Roman" w:eastAsia="仿宋_GB2312" w:cs="Times New Roman"/>
          <w:b w:val="0"/>
          <w:color w:val="000000"/>
          <w:sz w:val="32"/>
          <w:szCs w:val="32"/>
        </w:rPr>
        <w:t>《</w:t>
      </w:r>
      <w:r>
        <w:rPr>
          <w:rFonts w:hint="eastAsia" w:ascii="Times New Roman" w:hAnsi="Times New Roman" w:eastAsia="仿宋_GB2312" w:cs="Times New Roman"/>
          <w:b w:val="0"/>
          <w:color w:val="000000"/>
          <w:sz w:val="32"/>
          <w:szCs w:val="32"/>
          <w:lang w:val="en-US" w:eastAsia="zh-CN"/>
        </w:rPr>
        <w:t>北京凯瑞联盟教育科技有限公司审计报告</w:t>
      </w:r>
      <w:r>
        <w:rPr>
          <w:rFonts w:hint="eastAsia" w:ascii="Times New Roman" w:hAnsi="Times New Roman" w:eastAsia="仿宋_GB2312" w:cs="Times New Roman"/>
          <w:b w:val="0"/>
          <w:color w:val="000000"/>
          <w:sz w:val="32"/>
          <w:szCs w:val="32"/>
        </w:rPr>
        <w:t>》（</w:t>
      </w:r>
      <w:r>
        <w:rPr>
          <w:rFonts w:hint="eastAsia" w:ascii="Times New Roman" w:hAnsi="Times New Roman" w:eastAsia="仿宋_GB2312" w:cs="Times New Roman"/>
          <w:b w:val="0"/>
          <w:color w:val="000000"/>
          <w:sz w:val="32"/>
          <w:szCs w:val="32"/>
          <w:lang w:val="en-US" w:eastAsia="zh-CN"/>
        </w:rPr>
        <w:t>大华</w:t>
      </w:r>
      <w:r>
        <w:rPr>
          <w:rFonts w:hint="eastAsia" w:ascii="Times New Roman" w:hAnsi="Times New Roman" w:eastAsia="仿宋_GB2312" w:cs="Times New Roman"/>
          <w:b w:val="0"/>
          <w:color w:val="000000"/>
          <w:sz w:val="32"/>
          <w:szCs w:val="32"/>
        </w:rPr>
        <w:t>审</w:t>
      </w:r>
      <w:r>
        <w:rPr>
          <w:rFonts w:hint="eastAsia" w:ascii="Times New Roman" w:hAnsi="Times New Roman" w:eastAsia="仿宋_GB2312" w:cs="Times New Roman"/>
          <w:b w:val="0"/>
          <w:color w:val="000000"/>
          <w:sz w:val="32"/>
          <w:szCs w:val="32"/>
          <w:lang w:val="en-US" w:eastAsia="zh-CN"/>
        </w:rPr>
        <w:t>字</w:t>
      </w:r>
      <w:r>
        <w:rPr>
          <w:rFonts w:hint="eastAsia" w:ascii="Times New Roman" w:hAnsi="Times New Roman" w:eastAsia="仿宋_GB2312" w:cs="Times New Roman"/>
          <w:b w:val="0"/>
          <w:color w:val="000000"/>
          <w:sz w:val="32"/>
          <w:szCs w:val="32"/>
        </w:rPr>
        <w:t>[202</w:t>
      </w:r>
      <w:r>
        <w:rPr>
          <w:rFonts w:hint="eastAsia" w:ascii="Times New Roman" w:hAnsi="Times New Roman" w:eastAsia="仿宋_GB2312" w:cs="Times New Roman"/>
          <w:b w:val="0"/>
          <w:color w:val="000000"/>
          <w:sz w:val="32"/>
          <w:szCs w:val="32"/>
          <w:lang w:val="en-US" w:eastAsia="zh-CN"/>
        </w:rPr>
        <w:t>1</w:t>
      </w:r>
      <w:r>
        <w:rPr>
          <w:rFonts w:hint="eastAsia" w:ascii="Times New Roman" w:hAnsi="Times New Roman" w:eastAsia="仿宋_GB2312" w:cs="Times New Roman"/>
          <w:b w:val="0"/>
          <w:color w:val="000000"/>
          <w:sz w:val="32"/>
          <w:szCs w:val="32"/>
        </w:rPr>
        <w:t>]</w:t>
      </w:r>
      <w:r>
        <w:rPr>
          <w:rFonts w:hint="eastAsia" w:ascii="Times New Roman" w:hAnsi="Times New Roman" w:eastAsia="仿宋_GB2312" w:cs="Times New Roman"/>
          <w:b w:val="0"/>
          <w:color w:val="000000"/>
          <w:sz w:val="32"/>
          <w:szCs w:val="32"/>
          <w:lang w:val="en-US" w:eastAsia="zh-CN"/>
        </w:rPr>
        <w:t>003161</w:t>
      </w:r>
      <w:r>
        <w:rPr>
          <w:rFonts w:hint="eastAsia" w:ascii="Times New Roman" w:hAnsi="Times New Roman" w:eastAsia="仿宋_GB2312" w:cs="Times New Roman"/>
          <w:b w:val="0"/>
          <w:color w:val="000000"/>
          <w:sz w:val="32"/>
          <w:szCs w:val="32"/>
        </w:rPr>
        <w:t>号），当事人20</w:t>
      </w:r>
      <w:r>
        <w:rPr>
          <w:rFonts w:hint="eastAsia" w:ascii="Times New Roman" w:hAnsi="Times New Roman" w:eastAsia="仿宋_GB2312" w:cs="Times New Roman"/>
          <w:b w:val="0"/>
          <w:color w:val="000000"/>
          <w:sz w:val="32"/>
          <w:szCs w:val="32"/>
          <w:lang w:val="en-US" w:eastAsia="zh-CN"/>
        </w:rPr>
        <w:t>20</w:t>
      </w:r>
      <w:r>
        <w:rPr>
          <w:rFonts w:hint="eastAsia" w:ascii="Times New Roman" w:hAnsi="Times New Roman" w:eastAsia="仿宋_GB2312" w:cs="Times New Roman"/>
          <w:b w:val="0"/>
          <w:color w:val="000000"/>
          <w:sz w:val="32"/>
          <w:szCs w:val="32"/>
        </w:rPr>
        <w:t>年销售额为</w:t>
      </w:r>
      <w:r>
        <w:rPr>
          <w:rFonts w:hint="eastAsia" w:ascii="Times New Roman" w:hAnsi="Times New Roman" w:eastAsia="仿宋_GB2312" w:cs="Times New Roman"/>
          <w:b w:val="0"/>
          <w:color w:val="000000"/>
          <w:sz w:val="32"/>
          <w:szCs w:val="32"/>
          <w:lang w:eastAsia="zh-CN"/>
        </w:rPr>
        <w:t>人民币</w:t>
      </w:r>
      <w:r>
        <w:rPr>
          <w:rFonts w:hint="eastAsia" w:ascii="Times New Roman" w:hAnsi="Times New Roman" w:eastAsia="仿宋_GB2312" w:cs="Times New Roman"/>
          <w:b w:val="0"/>
          <w:color w:val="000000"/>
          <w:sz w:val="32"/>
          <w:szCs w:val="32"/>
        </w:rPr>
        <w:t>31,412,882.24元。</w:t>
      </w:r>
    </w:p>
    <w:p>
      <w:pPr>
        <w:keepNext w:val="0"/>
        <w:keepLines w:val="0"/>
        <w:pageBreakBefore w:val="0"/>
        <w:numPr>
          <w:ilvl w:val="0"/>
          <w:numId w:val="0"/>
        </w:numPr>
        <w:kinsoku/>
        <w:wordWrap/>
        <w:topLinePunct w:val="0"/>
        <w:bidi w:val="0"/>
        <w:snapToGrid/>
        <w:spacing w:line="578" w:lineRule="exact"/>
        <w:ind w:firstLine="640" w:firstLineChars="200"/>
        <w:outlineLvl w:val="9"/>
        <w:rPr>
          <w:rFonts w:hint="default" w:ascii="Times New Roman" w:hAnsi="Times New Roman" w:eastAsia="仿宋_GB2312" w:cs="Times New Roman"/>
          <w:b w:val="0"/>
          <w:color w:val="000000"/>
          <w:sz w:val="32"/>
          <w:szCs w:val="32"/>
          <w:lang w:val="en-US" w:eastAsia="zh-CN"/>
        </w:rPr>
      </w:pPr>
      <w:r>
        <w:rPr>
          <w:rFonts w:hint="eastAsia" w:ascii="Times New Roman" w:hAnsi="Times New Roman" w:eastAsia="仿宋_GB2312" w:cs="Times New Roman"/>
          <w:b w:val="0"/>
          <w:color w:val="000000"/>
          <w:sz w:val="32"/>
          <w:szCs w:val="32"/>
          <w:lang w:val="en-US" w:eastAsia="zh-CN"/>
        </w:rPr>
        <w:t>综合考虑当事人</w:t>
      </w:r>
      <w:r>
        <w:rPr>
          <w:rFonts w:hint="eastAsia" w:ascii="Times New Roman" w:hAnsi="Times New Roman" w:eastAsia="仿宋_GB2312" w:cs="Times New Roman"/>
          <w:b w:val="0"/>
          <w:color w:val="000000"/>
          <w:sz w:val="32"/>
          <w:szCs w:val="32"/>
        </w:rPr>
        <w:t>违法行为持续时间较长、影响较大</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lang w:val="en-US" w:eastAsia="zh-CN"/>
        </w:rPr>
        <w:t>但在案件调查后期积极配合、承诺整改消除影响</w:t>
      </w:r>
      <w:r>
        <w:rPr>
          <w:rFonts w:hint="eastAsia" w:ascii="Times New Roman" w:hAnsi="Times New Roman" w:eastAsia="仿宋_GB2312" w:cs="Times New Roman"/>
          <w:b w:val="0"/>
          <w:color w:val="000000"/>
          <w:sz w:val="32"/>
          <w:szCs w:val="32"/>
        </w:rPr>
        <w:t>等因素，</w:t>
      </w:r>
      <w:r>
        <w:rPr>
          <w:rFonts w:hint="eastAsia" w:ascii="Times New Roman" w:hAnsi="Times New Roman" w:eastAsia="仿宋_GB2312" w:cs="Times New Roman"/>
          <w:b w:val="0"/>
          <w:color w:val="000000"/>
          <w:sz w:val="32"/>
          <w:szCs w:val="32"/>
          <w:lang w:val="en-US" w:eastAsia="zh-CN"/>
        </w:rPr>
        <w:t>根</w:t>
      </w:r>
      <w:r>
        <w:rPr>
          <w:rFonts w:hint="eastAsia" w:ascii="Times New Roman" w:hAnsi="Times New Roman" w:eastAsia="仿宋_GB2312" w:cs="Times New Roman"/>
          <w:b w:val="0"/>
          <w:color w:val="000000"/>
          <w:sz w:val="32"/>
          <w:szCs w:val="32"/>
        </w:rPr>
        <w:t>据《反垄断法》第四十六条</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lang w:val="en-US" w:eastAsia="zh-CN"/>
        </w:rPr>
        <w:t>第</w:t>
      </w:r>
      <w:r>
        <w:rPr>
          <w:rFonts w:hint="eastAsia" w:ascii="Times New Roman" w:hAnsi="Times New Roman" w:eastAsia="仿宋_GB2312" w:cs="Times New Roman"/>
          <w:b w:val="0"/>
          <w:color w:val="000000"/>
          <w:sz w:val="32"/>
          <w:szCs w:val="32"/>
        </w:rPr>
        <w:t>四十九条规定，本机关责令</w:t>
      </w:r>
      <w:r>
        <w:rPr>
          <w:rFonts w:hint="eastAsia" w:ascii="Times New Roman" w:hAnsi="Times New Roman" w:eastAsia="仿宋_GB2312" w:cs="Times New Roman"/>
          <w:b w:val="0"/>
          <w:color w:val="000000"/>
          <w:sz w:val="32"/>
          <w:szCs w:val="32"/>
          <w:lang w:eastAsia="zh-CN"/>
        </w:rPr>
        <w:t>当事人</w:t>
      </w:r>
      <w:r>
        <w:rPr>
          <w:rFonts w:hint="eastAsia" w:ascii="Times New Roman" w:hAnsi="Times New Roman" w:eastAsia="仿宋_GB2312" w:cs="Times New Roman"/>
          <w:b w:val="0"/>
          <w:color w:val="000000"/>
          <w:sz w:val="32"/>
          <w:szCs w:val="32"/>
        </w:rPr>
        <w:t>停止与交易相对人达成并实施固定向第三人转售商品价格垄断协议的违法行为</w:t>
      </w:r>
      <w:r>
        <w:rPr>
          <w:rFonts w:hint="eastAsia" w:ascii="Times New Roman" w:hAnsi="Times New Roman" w:eastAsia="仿宋_GB2312" w:cs="Times New Roman"/>
          <w:b w:val="0"/>
          <w:color w:val="000000"/>
          <w:sz w:val="32"/>
          <w:szCs w:val="32"/>
          <w:lang w:eastAsia="zh-CN"/>
        </w:rPr>
        <w:t>，</w:t>
      </w:r>
      <w:r>
        <w:rPr>
          <w:rFonts w:hint="eastAsia" w:ascii="Times New Roman" w:hAnsi="Times New Roman" w:eastAsia="仿宋_GB2312" w:cs="Times New Roman"/>
          <w:b w:val="0"/>
          <w:color w:val="000000"/>
          <w:sz w:val="32"/>
          <w:szCs w:val="32"/>
          <w:lang w:val="en-US" w:eastAsia="zh-CN"/>
        </w:rPr>
        <w:t>决定对当事人作出如下行政处罚：</w:t>
      </w:r>
    </w:p>
    <w:p>
      <w:pPr>
        <w:keepNext w:val="0"/>
        <w:keepLines w:val="0"/>
        <w:pageBreakBefore w:val="0"/>
        <w:kinsoku/>
        <w:wordWrap/>
        <w:overflowPunct/>
        <w:topLinePunct w:val="0"/>
        <w:bidi w:val="0"/>
        <w:snapToGrid/>
        <w:spacing w:line="578" w:lineRule="exact"/>
        <w:ind w:firstLine="643" w:firstLineChars="200"/>
        <w:outlineLvl w:val="9"/>
        <w:rPr>
          <w:rFonts w:hint="default" w:ascii="Times New Roman" w:hAnsi="Times New Roman" w:eastAsia="楷体_GB2312" w:cs="Times New Roman"/>
          <w:b/>
          <w:bCs/>
          <w:sz w:val="32"/>
          <w:szCs w:val="32"/>
        </w:rPr>
      </w:pPr>
      <w:r>
        <w:rPr>
          <w:rFonts w:hint="eastAsia" w:ascii="Times New Roman" w:hAnsi="Times New Roman" w:eastAsia="仿宋_GB2312" w:cs="Times New Roman"/>
          <w:b/>
          <w:bCs/>
          <w:color w:val="000000"/>
          <w:sz w:val="32"/>
          <w:szCs w:val="32"/>
        </w:rPr>
        <w:t>处2020年度销售额3%的罚款</w:t>
      </w:r>
      <w:r>
        <w:rPr>
          <w:rFonts w:hint="eastAsia" w:ascii="Times New Roman" w:hAnsi="Times New Roman" w:eastAsia="仿宋_GB2312" w:cs="Times New Roman"/>
          <w:b/>
          <w:bCs/>
          <w:color w:val="000000"/>
          <w:sz w:val="32"/>
          <w:szCs w:val="32"/>
          <w:lang w:eastAsia="zh-CN"/>
        </w:rPr>
        <w:t>，</w:t>
      </w:r>
      <w:r>
        <w:rPr>
          <w:rFonts w:hint="eastAsia" w:ascii="Times New Roman" w:hAnsi="Times New Roman" w:eastAsia="仿宋_GB2312" w:cs="Times New Roman"/>
          <w:b/>
          <w:bCs/>
          <w:color w:val="000000"/>
          <w:sz w:val="32"/>
          <w:szCs w:val="32"/>
          <w:lang w:val="en-US" w:eastAsia="zh-CN"/>
        </w:rPr>
        <w:t>计人民币</w:t>
      </w:r>
      <w:r>
        <w:rPr>
          <w:rFonts w:hint="eastAsia" w:ascii="Times New Roman" w:hAnsi="Times New Roman" w:eastAsia="仿宋_GB2312" w:cs="Times New Roman"/>
          <w:b/>
          <w:bCs/>
          <w:color w:val="000000"/>
          <w:sz w:val="32"/>
          <w:szCs w:val="32"/>
        </w:rPr>
        <w:t>942,386.47元（</w:t>
      </w:r>
      <w:r>
        <w:rPr>
          <w:rFonts w:hint="eastAsia" w:ascii="Times New Roman" w:hAnsi="Times New Roman" w:eastAsia="仿宋_GB2312" w:cs="Times New Roman"/>
          <w:b/>
          <w:bCs/>
          <w:color w:val="000000"/>
          <w:sz w:val="32"/>
          <w:szCs w:val="32"/>
          <w:lang w:val="en-US" w:eastAsia="zh-CN"/>
        </w:rPr>
        <w:t>大写：</w:t>
      </w:r>
      <w:r>
        <w:rPr>
          <w:rFonts w:hint="eastAsia" w:ascii="Times New Roman" w:hAnsi="Times New Roman" w:eastAsia="仿宋_GB2312" w:cs="Times New Roman"/>
          <w:b/>
          <w:bCs/>
          <w:color w:val="000000"/>
          <w:sz w:val="32"/>
          <w:szCs w:val="32"/>
        </w:rPr>
        <w:t>玖拾肆万贰仟叁佰捌拾陆元肆角柒分）。</w:t>
      </w:r>
      <w:r>
        <w:rPr>
          <w:rFonts w:hint="default" w:ascii="Times New Roman" w:hAnsi="Times New Roman" w:eastAsia="楷体_GB2312" w:cs="Times New Roman"/>
          <w:b/>
          <w:bCs/>
          <w:sz w:val="32"/>
          <w:szCs w:val="32"/>
        </w:rPr>
        <w:t xml:space="preserve"> </w:t>
      </w:r>
      <w:r>
        <w:rPr>
          <w:rFonts w:hint="default" w:ascii="Times New Roman" w:hAnsi="Times New Roman" w:eastAsia="楷体_GB2312" w:cs="Times New Roman"/>
          <w:b w:val="0"/>
          <w:bCs w:val="0"/>
          <w:sz w:val="32"/>
          <w:szCs w:val="32"/>
        </w:rPr>
        <w:t xml:space="preserve">  </w:t>
      </w:r>
      <w:r>
        <w:rPr>
          <w:rFonts w:hint="default" w:ascii="Times New Roman" w:hAnsi="Times New Roman" w:eastAsia="楷体_GB2312" w:cs="Times New Roman"/>
          <w:b/>
          <w:bCs/>
          <w:sz w:val="32"/>
          <w:szCs w:val="32"/>
        </w:rPr>
        <w:t xml:space="preserve">                                                     </w:t>
      </w:r>
    </w:p>
    <w:p>
      <w:pPr>
        <w:pStyle w:val="12"/>
        <w:keepNext w:val="0"/>
        <w:keepLines w:val="0"/>
        <w:pageBreakBefore w:val="0"/>
        <w:kinsoku/>
        <w:wordWrap/>
        <w:overflowPunct w:val="0"/>
        <w:topLinePunct w:val="0"/>
        <w:bidi w:val="0"/>
        <w:snapToGrid/>
        <w:spacing w:after="0" w:line="578" w:lineRule="exact"/>
        <w:ind w:firstLine="640" w:firstLineChars="200"/>
        <w:outlineLvl w:val="9"/>
        <w:rPr>
          <w:rFonts w:hint="eastAsia"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当事人应当自收到本处罚决定书之日起十五日内，持《北京市非税收入一般缴款书》到银行缴款。根据《中华人民共和国行政处罚法》第</w:t>
      </w:r>
      <w:r>
        <w:rPr>
          <w:rFonts w:hint="eastAsia" w:ascii="Times New Roman" w:hAnsi="Times New Roman" w:eastAsia="仿宋_GB2312" w:cs="Times New Roman"/>
          <w:color w:val="000000"/>
          <w:sz w:val="32"/>
          <w:szCs w:val="32"/>
          <w:lang w:eastAsia="zh-CN"/>
        </w:rPr>
        <w:t>七十二</w:t>
      </w:r>
      <w:r>
        <w:rPr>
          <w:rFonts w:hint="eastAsia" w:ascii="Times New Roman" w:hAnsi="Times New Roman" w:eastAsia="仿宋_GB2312" w:cs="Times New Roman"/>
          <w:color w:val="000000"/>
          <w:sz w:val="32"/>
          <w:szCs w:val="32"/>
        </w:rPr>
        <w:t>条规定，到期不缴纳罚款的，每日按罚款数额的百分之三加处罚款，并将依法申请人民法院强制执行。</w:t>
      </w:r>
    </w:p>
    <w:p>
      <w:pPr>
        <w:pStyle w:val="12"/>
        <w:keepNext w:val="0"/>
        <w:keepLines w:val="0"/>
        <w:pageBreakBefore w:val="0"/>
        <w:kinsoku/>
        <w:wordWrap/>
        <w:overflowPunct w:val="0"/>
        <w:topLinePunct w:val="0"/>
        <w:bidi w:val="0"/>
        <w:snapToGrid/>
        <w:spacing w:after="0" w:line="578" w:lineRule="exact"/>
        <w:ind w:firstLine="640" w:firstLineChars="200"/>
        <w:outlineLvl w:val="9"/>
        <w:rPr>
          <w:rFonts w:hint="eastAsia"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当事人如不服本行政处罚决定，可在收到本处罚决定书之日起六十日内向国家市场监督管理总局或北京市人民政府申请行政复议，也可在六个月内依法向</w:t>
      </w:r>
      <w:r>
        <w:rPr>
          <w:rFonts w:hint="eastAsia" w:ascii="Times New Roman" w:hAnsi="Times New Roman" w:eastAsia="仿宋_GB2312" w:cs="Times New Roman"/>
          <w:color w:val="000000"/>
          <w:sz w:val="32"/>
          <w:szCs w:val="32"/>
          <w:lang w:eastAsia="zh-CN"/>
        </w:rPr>
        <w:t>北京知识产权</w:t>
      </w:r>
      <w:r>
        <w:rPr>
          <w:rFonts w:hint="eastAsia" w:ascii="Times New Roman" w:hAnsi="Times New Roman" w:eastAsia="仿宋_GB2312" w:cs="Times New Roman"/>
          <w:color w:val="000000"/>
          <w:sz w:val="32"/>
          <w:szCs w:val="32"/>
        </w:rPr>
        <w:t>法院提起行政诉讼。行政复议或者行政诉讼期间，本行政处罚决定不停止执行。</w:t>
      </w:r>
    </w:p>
    <w:p>
      <w:pPr>
        <w:pStyle w:val="12"/>
        <w:keepNext w:val="0"/>
        <w:keepLines w:val="0"/>
        <w:pageBreakBefore w:val="0"/>
        <w:kinsoku/>
        <w:wordWrap/>
        <w:overflowPunct w:val="0"/>
        <w:topLinePunct w:val="0"/>
        <w:bidi w:val="0"/>
        <w:snapToGrid/>
        <w:spacing w:after="0" w:line="578" w:lineRule="exact"/>
        <w:ind w:firstLine="640" w:firstLineChars="200"/>
        <w:outlineLvl w:val="9"/>
        <w:rPr>
          <w:rFonts w:hint="eastAsia" w:ascii="Times New Roman" w:hAnsi="Times New Roman" w:eastAsia="仿宋_GB2312" w:cs="Times New Roman"/>
          <w:color w:val="000000"/>
          <w:sz w:val="32"/>
          <w:szCs w:val="32"/>
          <w:lang w:val="en-US" w:eastAsia="zh-CN"/>
        </w:rPr>
      </w:pPr>
      <w:r>
        <w:rPr>
          <w:rFonts w:hint="eastAsia" w:ascii="Times New Roman" w:hAnsi="Times New Roman" w:eastAsia="仿宋_GB2312" w:cs="Times New Roman"/>
          <w:color w:val="000000"/>
          <w:sz w:val="32"/>
          <w:szCs w:val="32"/>
        </w:rPr>
        <w:t xml:space="preserve">       </w:t>
      </w:r>
      <w:r>
        <w:rPr>
          <w:rFonts w:hint="eastAsia" w:ascii="Times New Roman" w:hAnsi="Times New Roman" w:eastAsia="仿宋_GB2312" w:cs="Times New Roman"/>
          <w:color w:val="000000"/>
          <w:sz w:val="32"/>
          <w:szCs w:val="32"/>
          <w:lang w:val="en-US" w:eastAsia="zh-CN"/>
        </w:rPr>
        <w:t xml:space="preserve">         </w:t>
      </w:r>
    </w:p>
    <w:p>
      <w:pPr>
        <w:pStyle w:val="12"/>
        <w:keepNext w:val="0"/>
        <w:keepLines w:val="0"/>
        <w:pageBreakBefore w:val="0"/>
        <w:kinsoku/>
        <w:wordWrap/>
        <w:overflowPunct w:val="0"/>
        <w:topLinePunct w:val="0"/>
        <w:bidi w:val="0"/>
        <w:snapToGrid/>
        <w:spacing w:after="0" w:line="578" w:lineRule="exact"/>
        <w:ind w:firstLine="640" w:firstLineChars="200"/>
        <w:outlineLvl w:val="9"/>
        <w:rPr>
          <w:rFonts w:hint="eastAsia" w:ascii="Times New Roman" w:hAnsi="Times New Roman" w:eastAsia="仿宋_GB2312" w:cs="Times New Roman"/>
          <w:color w:val="000000"/>
          <w:sz w:val="32"/>
          <w:szCs w:val="32"/>
          <w:lang w:val="en-US" w:eastAsia="zh-CN"/>
        </w:rPr>
      </w:pPr>
    </w:p>
    <w:p>
      <w:pPr>
        <w:pStyle w:val="12"/>
        <w:keepNext w:val="0"/>
        <w:keepLines w:val="0"/>
        <w:pageBreakBefore w:val="0"/>
        <w:kinsoku/>
        <w:wordWrap/>
        <w:overflowPunct w:val="0"/>
        <w:topLinePunct w:val="0"/>
        <w:bidi w:val="0"/>
        <w:snapToGrid/>
        <w:spacing w:after="0" w:line="578" w:lineRule="exact"/>
        <w:ind w:firstLine="640" w:firstLineChars="200"/>
        <w:outlineLvl w:val="9"/>
        <w:rPr>
          <w:rFonts w:hint="eastAsia" w:ascii="Times New Roman" w:hAnsi="Times New Roman" w:eastAsia="仿宋_GB2312" w:cs="Times New Roman"/>
          <w:color w:val="000000"/>
          <w:sz w:val="32"/>
          <w:szCs w:val="32"/>
          <w:lang w:val="en-US" w:eastAsia="zh-CN"/>
        </w:rPr>
      </w:pPr>
    </w:p>
    <w:p>
      <w:pPr>
        <w:pStyle w:val="12"/>
        <w:keepNext w:val="0"/>
        <w:keepLines w:val="0"/>
        <w:pageBreakBefore w:val="0"/>
        <w:kinsoku/>
        <w:wordWrap/>
        <w:overflowPunct w:val="0"/>
        <w:topLinePunct w:val="0"/>
        <w:bidi w:val="0"/>
        <w:snapToGrid/>
        <w:spacing w:after="0" w:line="578" w:lineRule="exact"/>
        <w:ind w:firstLine="3200" w:firstLineChars="1000"/>
        <w:outlineLvl w:val="9"/>
        <w:rPr>
          <w:rFonts w:hint="eastAsia" w:ascii="Times New Roman" w:hAnsi="Times New Roman" w:eastAsia="仿宋_GB2312" w:cs="Times New Roman"/>
          <w:color w:val="000000"/>
          <w:sz w:val="32"/>
          <w:szCs w:val="32"/>
          <w:lang w:val="en-US" w:eastAsia="zh-CN"/>
        </w:rPr>
      </w:pPr>
      <w:r>
        <w:rPr>
          <w:rFonts w:hint="eastAsia" w:ascii="Times New Roman" w:hAnsi="Times New Roman" w:eastAsia="仿宋_GB2312" w:cs="Times New Roman"/>
          <w:color w:val="000000"/>
          <w:sz w:val="32"/>
          <w:szCs w:val="32"/>
          <w:lang w:val="en-US" w:eastAsia="zh-CN"/>
        </w:rPr>
        <w:t xml:space="preserve">      </w:t>
      </w:r>
    </w:p>
    <w:p>
      <w:pPr>
        <w:pStyle w:val="12"/>
        <w:keepNext w:val="0"/>
        <w:keepLines w:val="0"/>
        <w:pageBreakBefore w:val="0"/>
        <w:kinsoku/>
        <w:wordWrap/>
        <w:overflowPunct w:val="0"/>
        <w:topLinePunct w:val="0"/>
        <w:bidi w:val="0"/>
        <w:snapToGrid/>
        <w:spacing w:after="0" w:line="578" w:lineRule="exact"/>
        <w:ind w:firstLine="3200" w:firstLineChars="1000"/>
        <w:outlineLvl w:val="9"/>
        <w:rPr>
          <w:rFonts w:hint="eastAsia" w:ascii="Times New Roman" w:hAnsi="Times New Roman" w:eastAsia="仿宋_GB2312" w:cs="Times New Roman"/>
          <w:color w:val="000000"/>
          <w:sz w:val="32"/>
          <w:szCs w:val="32"/>
          <w:lang w:val="en-US" w:eastAsia="zh-CN"/>
        </w:rPr>
      </w:pPr>
    </w:p>
    <w:p>
      <w:pPr>
        <w:pStyle w:val="12"/>
        <w:keepNext w:val="0"/>
        <w:keepLines w:val="0"/>
        <w:pageBreakBefore w:val="0"/>
        <w:kinsoku/>
        <w:wordWrap/>
        <w:overflowPunct w:val="0"/>
        <w:topLinePunct w:val="0"/>
        <w:bidi w:val="0"/>
        <w:snapToGrid/>
        <w:spacing w:after="0" w:line="578" w:lineRule="exact"/>
        <w:ind w:firstLine="3200" w:firstLineChars="1000"/>
        <w:outlineLvl w:val="9"/>
        <w:rPr>
          <w:rFonts w:hint="eastAsia" w:ascii="Times New Roman" w:hAnsi="Times New Roman" w:eastAsia="仿宋_GB2312" w:cs="Times New Roman"/>
          <w:color w:val="000000"/>
          <w:sz w:val="32"/>
          <w:szCs w:val="32"/>
          <w:lang w:val="en-US" w:eastAsia="zh-CN"/>
        </w:rPr>
      </w:pPr>
    </w:p>
    <w:p>
      <w:pPr>
        <w:pStyle w:val="12"/>
        <w:keepNext w:val="0"/>
        <w:keepLines w:val="0"/>
        <w:pageBreakBefore w:val="0"/>
        <w:kinsoku/>
        <w:wordWrap/>
        <w:overflowPunct w:val="0"/>
        <w:topLinePunct w:val="0"/>
        <w:bidi w:val="0"/>
        <w:snapToGrid/>
        <w:spacing w:after="0" w:line="578" w:lineRule="exact"/>
        <w:ind w:firstLine="4480" w:firstLineChars="1400"/>
        <w:outlineLvl w:val="9"/>
        <w:rPr>
          <w:rFonts w:hint="eastAsia"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lang w:val="en-US" w:eastAsia="zh-CN"/>
        </w:rPr>
        <w:t xml:space="preserve"> 北京市</w:t>
      </w:r>
      <w:r>
        <w:rPr>
          <w:rFonts w:hint="eastAsia" w:ascii="Times New Roman" w:hAnsi="Times New Roman" w:eastAsia="仿宋_GB2312" w:cs="Times New Roman"/>
          <w:color w:val="000000"/>
          <w:sz w:val="32"/>
          <w:szCs w:val="32"/>
        </w:rPr>
        <w:t>市场监督管理局</w:t>
      </w:r>
    </w:p>
    <w:p>
      <w:pPr>
        <w:pStyle w:val="12"/>
        <w:keepNext w:val="0"/>
        <w:keepLines w:val="0"/>
        <w:pageBreakBefore w:val="0"/>
        <w:kinsoku/>
        <w:wordWrap/>
        <w:overflowPunct w:val="0"/>
        <w:topLinePunct w:val="0"/>
        <w:bidi w:val="0"/>
        <w:snapToGrid/>
        <w:spacing w:after="0" w:line="578" w:lineRule="exact"/>
        <w:ind w:firstLine="640" w:firstLineChars="200"/>
        <w:outlineLvl w:val="9"/>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 xml:space="preserve">                      </w:t>
      </w:r>
      <w:r>
        <w:rPr>
          <w:rFonts w:hint="eastAsia" w:eastAsia="仿宋_GB2312" w:cs="Times New Roman"/>
          <w:color w:val="000000"/>
          <w:sz w:val="32"/>
          <w:szCs w:val="32"/>
          <w:lang w:val="en-US" w:eastAsia="zh-CN"/>
        </w:rPr>
        <w:t xml:space="preserve">     </w:t>
      </w:r>
      <w:r>
        <w:rPr>
          <w:rFonts w:hint="eastAsia" w:ascii="Times New Roman" w:hAnsi="Times New Roman" w:eastAsia="仿宋_GB2312" w:cs="Times New Roman"/>
          <w:color w:val="000000"/>
          <w:sz w:val="32"/>
          <w:szCs w:val="32"/>
          <w:lang w:val="en-US" w:eastAsia="zh-CN"/>
        </w:rPr>
        <w:t>2022</w:t>
      </w:r>
      <w:r>
        <w:rPr>
          <w:rFonts w:hint="eastAsia" w:ascii="Times New Roman" w:hAnsi="Times New Roman" w:eastAsia="仿宋_GB2312" w:cs="Times New Roman"/>
          <w:color w:val="000000"/>
          <w:sz w:val="32"/>
          <w:szCs w:val="32"/>
        </w:rPr>
        <w:t>年</w:t>
      </w:r>
      <w:r>
        <w:rPr>
          <w:rFonts w:hint="eastAsia" w:eastAsia="仿宋_GB2312" w:cs="Times New Roman"/>
          <w:color w:val="000000"/>
          <w:sz w:val="32"/>
          <w:szCs w:val="32"/>
          <w:lang w:val="en-US" w:eastAsia="zh-CN"/>
        </w:rPr>
        <w:t>7月12</w:t>
      </w:r>
      <w:r>
        <w:rPr>
          <w:rFonts w:hint="eastAsia" w:ascii="Times New Roman" w:hAnsi="Times New Roman" w:eastAsia="仿宋_GB2312" w:cs="Times New Roman"/>
          <w:color w:val="000000"/>
          <w:sz w:val="32"/>
          <w:szCs w:val="32"/>
        </w:rPr>
        <w:t>日</w:t>
      </w:r>
    </w:p>
    <w:p>
      <w:pPr>
        <w:pStyle w:val="12"/>
        <w:keepNext w:val="0"/>
        <w:keepLines w:val="0"/>
        <w:pageBreakBefore w:val="0"/>
        <w:kinsoku/>
        <w:wordWrap/>
        <w:overflowPunct w:val="0"/>
        <w:topLinePunct w:val="0"/>
        <w:bidi w:val="0"/>
        <w:snapToGrid/>
        <w:spacing w:after="0" w:line="578" w:lineRule="exact"/>
        <w:ind w:firstLine="640" w:firstLineChars="200"/>
        <w:outlineLvl w:val="9"/>
        <w:rPr>
          <w:rFonts w:hint="eastAsia" w:ascii="黑体" w:hAnsi="黑体" w:eastAsia="黑体" w:cs="Arial Unicode MS"/>
          <w:b w:val="0"/>
          <w:bCs w:val="0"/>
          <w:color w:val="000000"/>
          <w:spacing w:val="-16"/>
          <w:kern w:val="0"/>
          <w:sz w:val="32"/>
          <w:szCs w:val="32"/>
        </w:rPr>
      </w:pPr>
      <w:r>
        <w:rPr>
          <w:rFonts w:hint="eastAsia" w:ascii="Times New Roman" w:hAnsi="Times New Roman" w:eastAsia="仿宋_GB2312" w:cs="Times New Roman"/>
          <w:color w:val="000000"/>
          <w:sz w:val="32"/>
          <w:szCs w:val="32"/>
        </w:rPr>
        <w:t xml:space="preserve">    </w:t>
      </w:r>
    </w:p>
    <w:p>
      <w:pPr>
        <w:pStyle w:val="12"/>
        <w:keepNext w:val="0"/>
        <w:keepLines w:val="0"/>
        <w:pageBreakBefore w:val="0"/>
        <w:kinsoku/>
        <w:wordWrap/>
        <w:overflowPunct/>
        <w:topLinePunct w:val="0"/>
        <w:autoSpaceDE w:val="0"/>
        <w:autoSpaceDN w:val="0"/>
        <w:bidi w:val="0"/>
        <w:adjustRightInd w:val="0"/>
        <w:snapToGrid/>
        <w:spacing w:after="0" w:line="578" w:lineRule="exact"/>
        <w:ind w:firstLine="0" w:firstLineChars="0"/>
        <w:jc w:val="left"/>
        <w:outlineLvl w:val="9"/>
        <w:rPr>
          <w:rFonts w:hint="eastAsia" w:ascii="黑体" w:hAnsi="黑体" w:eastAsia="黑体" w:cs="Arial Unicode MS"/>
          <w:b w:val="0"/>
          <w:bCs w:val="0"/>
          <w:color w:val="000000"/>
          <w:spacing w:val="-16"/>
          <w:kern w:val="0"/>
          <w:sz w:val="32"/>
          <w:szCs w:val="32"/>
        </w:rPr>
      </w:pPr>
    </w:p>
    <w:p>
      <w:pPr>
        <w:pStyle w:val="12"/>
        <w:keepNext w:val="0"/>
        <w:keepLines w:val="0"/>
        <w:pageBreakBefore w:val="0"/>
        <w:kinsoku/>
        <w:wordWrap/>
        <w:overflowPunct/>
        <w:topLinePunct w:val="0"/>
        <w:autoSpaceDE w:val="0"/>
        <w:autoSpaceDN w:val="0"/>
        <w:bidi w:val="0"/>
        <w:adjustRightInd w:val="0"/>
        <w:snapToGrid/>
        <w:spacing w:after="0" w:line="578" w:lineRule="exact"/>
        <w:ind w:firstLine="0" w:firstLineChars="0"/>
        <w:jc w:val="left"/>
        <w:outlineLvl w:val="9"/>
        <w:rPr>
          <w:rFonts w:hint="eastAsia" w:ascii="黑体" w:hAnsi="黑体" w:eastAsia="黑体" w:cs="Arial Unicode MS"/>
          <w:b w:val="0"/>
          <w:bCs w:val="0"/>
          <w:color w:val="000000"/>
          <w:spacing w:val="-16"/>
          <w:kern w:val="0"/>
          <w:sz w:val="32"/>
          <w:szCs w:val="32"/>
        </w:rPr>
      </w:pPr>
    </w:p>
    <w:p>
      <w:pPr>
        <w:pStyle w:val="12"/>
        <w:keepNext w:val="0"/>
        <w:keepLines w:val="0"/>
        <w:pageBreakBefore w:val="0"/>
        <w:kinsoku/>
        <w:wordWrap/>
        <w:overflowPunct/>
        <w:topLinePunct w:val="0"/>
        <w:autoSpaceDE w:val="0"/>
        <w:autoSpaceDN w:val="0"/>
        <w:bidi w:val="0"/>
        <w:adjustRightInd w:val="0"/>
        <w:snapToGrid/>
        <w:spacing w:after="0" w:line="578" w:lineRule="exact"/>
        <w:ind w:firstLine="0" w:firstLineChars="0"/>
        <w:jc w:val="left"/>
        <w:outlineLvl w:val="9"/>
        <w:rPr>
          <w:rFonts w:hint="eastAsia" w:ascii="黑体" w:hAnsi="黑体" w:eastAsia="黑体" w:cs="Arial Unicode MS"/>
          <w:b w:val="0"/>
          <w:bCs w:val="0"/>
          <w:color w:val="000000"/>
          <w:spacing w:val="-16"/>
          <w:kern w:val="0"/>
          <w:sz w:val="32"/>
          <w:szCs w:val="32"/>
        </w:rPr>
      </w:pPr>
    </w:p>
    <w:p>
      <w:pPr>
        <w:pStyle w:val="12"/>
        <w:keepNext w:val="0"/>
        <w:keepLines w:val="0"/>
        <w:pageBreakBefore w:val="0"/>
        <w:kinsoku/>
        <w:wordWrap/>
        <w:overflowPunct/>
        <w:topLinePunct w:val="0"/>
        <w:autoSpaceDE w:val="0"/>
        <w:autoSpaceDN w:val="0"/>
        <w:bidi w:val="0"/>
        <w:adjustRightInd w:val="0"/>
        <w:snapToGrid/>
        <w:spacing w:after="0" w:line="578" w:lineRule="exact"/>
        <w:ind w:firstLine="0" w:firstLineChars="0"/>
        <w:jc w:val="left"/>
        <w:outlineLvl w:val="9"/>
        <w:rPr>
          <w:rFonts w:hint="eastAsia" w:ascii="黑体" w:hAnsi="黑体" w:eastAsia="黑体" w:cs="Arial Unicode MS"/>
          <w:b w:val="0"/>
          <w:bCs w:val="0"/>
          <w:color w:val="000000"/>
          <w:spacing w:val="-16"/>
          <w:kern w:val="0"/>
          <w:sz w:val="32"/>
          <w:szCs w:val="32"/>
        </w:rPr>
      </w:pPr>
    </w:p>
    <w:p>
      <w:pPr>
        <w:pStyle w:val="12"/>
        <w:keepNext w:val="0"/>
        <w:keepLines w:val="0"/>
        <w:pageBreakBefore w:val="0"/>
        <w:kinsoku/>
        <w:wordWrap/>
        <w:overflowPunct/>
        <w:topLinePunct w:val="0"/>
        <w:autoSpaceDE w:val="0"/>
        <w:autoSpaceDN w:val="0"/>
        <w:bidi w:val="0"/>
        <w:adjustRightInd w:val="0"/>
        <w:snapToGrid/>
        <w:spacing w:after="0" w:line="578" w:lineRule="exact"/>
        <w:ind w:firstLine="0" w:firstLineChars="0"/>
        <w:jc w:val="left"/>
        <w:outlineLvl w:val="9"/>
        <w:rPr>
          <w:rFonts w:hint="eastAsia" w:ascii="黑体" w:hAnsi="黑体" w:eastAsia="黑体" w:cs="Arial Unicode MS"/>
          <w:b w:val="0"/>
          <w:bCs w:val="0"/>
          <w:color w:val="000000"/>
          <w:spacing w:val="-16"/>
          <w:kern w:val="0"/>
          <w:sz w:val="32"/>
          <w:szCs w:val="32"/>
        </w:rPr>
      </w:pPr>
      <w:r>
        <w:rPr>
          <w:rFonts w:hint="eastAsia" w:ascii="黑体" w:hAnsi="黑体" w:eastAsia="黑体" w:cs="Arial Unicode MS"/>
          <w:b w:val="0"/>
          <w:bCs w:val="0"/>
          <w:color w:val="000000"/>
          <w:spacing w:val="-16"/>
          <w:kern w:val="0"/>
          <w:sz w:val="32"/>
          <w:szCs w:val="32"/>
        </w:rPr>
        <w:t>（市场监督管理部门将依法向社会公示本行政处罚决定信息）</w:t>
      </w:r>
    </w:p>
    <w:p>
      <w:pPr>
        <w:pStyle w:val="12"/>
        <w:keepNext w:val="0"/>
        <w:keepLines w:val="0"/>
        <w:pageBreakBefore w:val="0"/>
        <w:kinsoku/>
        <w:wordWrap/>
        <w:overflowPunct/>
        <w:topLinePunct w:val="0"/>
        <w:autoSpaceDE w:val="0"/>
        <w:autoSpaceDN w:val="0"/>
        <w:bidi w:val="0"/>
        <w:adjustRightInd w:val="0"/>
        <w:snapToGrid/>
        <w:spacing w:after="0" w:line="578" w:lineRule="exact"/>
        <w:ind w:firstLine="0" w:firstLineChars="0"/>
        <w:jc w:val="left"/>
        <w:outlineLvl w:val="9"/>
        <w:rPr>
          <w:rFonts w:hint="eastAsia" w:ascii="黑体" w:hAnsi="黑体" w:eastAsia="黑体" w:cs="Arial Unicode MS"/>
          <w:b w:val="0"/>
          <w:bCs w:val="0"/>
          <w:color w:val="000000"/>
          <w:spacing w:val="-16"/>
          <w:kern w:val="0"/>
          <w:sz w:val="32"/>
          <w:szCs w:val="32"/>
        </w:rPr>
      </w:pPr>
    </w:p>
    <w:p>
      <w:pPr>
        <w:pStyle w:val="12"/>
        <w:keepNext w:val="0"/>
        <w:keepLines w:val="0"/>
        <w:pageBreakBefore w:val="0"/>
        <w:kinsoku/>
        <w:wordWrap/>
        <w:overflowPunct/>
        <w:topLinePunct w:val="0"/>
        <w:autoSpaceDE w:val="0"/>
        <w:autoSpaceDN w:val="0"/>
        <w:bidi w:val="0"/>
        <w:adjustRightInd w:val="0"/>
        <w:snapToGrid/>
        <w:spacing w:after="0" w:line="578" w:lineRule="exact"/>
        <w:ind w:firstLine="0" w:firstLineChars="0"/>
        <w:jc w:val="left"/>
        <w:outlineLvl w:val="9"/>
        <w:rPr>
          <w:rFonts w:hint="eastAsia" w:ascii="黑体" w:hAnsi="黑体" w:eastAsia="黑体" w:cs="Arial Unicode MS"/>
          <w:b w:val="0"/>
          <w:bCs w:val="0"/>
          <w:color w:val="000000"/>
          <w:spacing w:val="-16"/>
          <w:kern w:val="0"/>
          <w:sz w:val="32"/>
          <w:szCs w:val="32"/>
        </w:rPr>
      </w:pPr>
    </w:p>
    <w:p>
      <w:pPr>
        <w:pStyle w:val="12"/>
        <w:keepNext w:val="0"/>
        <w:keepLines w:val="0"/>
        <w:pageBreakBefore w:val="0"/>
        <w:kinsoku/>
        <w:wordWrap/>
        <w:overflowPunct/>
        <w:topLinePunct w:val="0"/>
        <w:autoSpaceDE w:val="0"/>
        <w:autoSpaceDN w:val="0"/>
        <w:bidi w:val="0"/>
        <w:adjustRightInd w:val="0"/>
        <w:snapToGrid/>
        <w:spacing w:after="0" w:line="578" w:lineRule="exact"/>
        <w:ind w:firstLine="0" w:firstLineChars="0"/>
        <w:jc w:val="left"/>
        <w:outlineLvl w:val="9"/>
        <w:rPr>
          <w:rFonts w:hint="eastAsia" w:ascii="黑体" w:hAnsi="黑体" w:eastAsia="黑体" w:cs="Arial Unicode MS"/>
          <w:b w:val="0"/>
          <w:bCs w:val="0"/>
          <w:color w:val="000000"/>
          <w:spacing w:val="-16"/>
          <w:kern w:val="0"/>
          <w:sz w:val="32"/>
          <w:szCs w:val="32"/>
        </w:rPr>
      </w:pPr>
    </w:p>
    <w:p>
      <w:pPr>
        <w:pStyle w:val="12"/>
        <w:keepNext w:val="0"/>
        <w:keepLines w:val="0"/>
        <w:pageBreakBefore w:val="0"/>
        <w:kinsoku/>
        <w:wordWrap/>
        <w:overflowPunct/>
        <w:topLinePunct w:val="0"/>
        <w:autoSpaceDE w:val="0"/>
        <w:autoSpaceDN w:val="0"/>
        <w:bidi w:val="0"/>
        <w:adjustRightInd w:val="0"/>
        <w:snapToGrid/>
        <w:spacing w:after="0" w:line="578" w:lineRule="exact"/>
        <w:ind w:firstLine="0" w:firstLineChars="0"/>
        <w:jc w:val="left"/>
        <w:outlineLvl w:val="9"/>
        <w:rPr>
          <w:rFonts w:hint="eastAsia" w:ascii="黑体" w:hAnsi="黑体" w:eastAsia="黑体" w:cs="Arial Unicode MS"/>
          <w:b w:val="0"/>
          <w:bCs w:val="0"/>
          <w:color w:val="000000"/>
          <w:spacing w:val="-16"/>
          <w:kern w:val="0"/>
          <w:sz w:val="32"/>
          <w:szCs w:val="32"/>
        </w:rPr>
      </w:pPr>
    </w:p>
    <w:p>
      <w:pPr>
        <w:pStyle w:val="12"/>
        <w:keepNext w:val="0"/>
        <w:keepLines w:val="0"/>
        <w:pageBreakBefore w:val="0"/>
        <w:kinsoku/>
        <w:wordWrap/>
        <w:overflowPunct/>
        <w:topLinePunct w:val="0"/>
        <w:autoSpaceDE w:val="0"/>
        <w:autoSpaceDN w:val="0"/>
        <w:bidi w:val="0"/>
        <w:adjustRightInd w:val="0"/>
        <w:snapToGrid/>
        <w:spacing w:after="0" w:line="578" w:lineRule="exact"/>
        <w:ind w:firstLine="0" w:firstLineChars="0"/>
        <w:jc w:val="left"/>
        <w:outlineLvl w:val="9"/>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lang w:val="en-US" w:eastAsia="zh-CN"/>
        </w:rPr>
        <w:t>本文书一式</w:t>
      </w:r>
      <w:r>
        <w:rPr>
          <w:rFonts w:hint="eastAsia" w:ascii="Times New Roman" w:hAnsi="Times New Roman" w:eastAsia="仿宋_GB2312" w:cs="Times New Roman"/>
          <w:color w:val="000000"/>
          <w:sz w:val="32"/>
          <w:szCs w:val="32"/>
          <w:u w:val="single"/>
          <w:lang w:val="en-US" w:eastAsia="zh-CN"/>
        </w:rPr>
        <w:t xml:space="preserve"> 三 </w:t>
      </w:r>
      <w:r>
        <w:rPr>
          <w:rFonts w:hint="eastAsia" w:ascii="Times New Roman" w:hAnsi="Times New Roman" w:eastAsia="仿宋_GB2312" w:cs="Times New Roman"/>
          <w:color w:val="000000"/>
          <w:sz w:val="32"/>
          <w:szCs w:val="32"/>
          <w:lang w:val="en-US" w:eastAsia="zh-CN"/>
        </w:rPr>
        <w:t>份，</w:t>
      </w:r>
      <w:r>
        <w:rPr>
          <w:rFonts w:hint="eastAsia" w:ascii="Times New Roman" w:hAnsi="Times New Roman" w:eastAsia="仿宋_GB2312" w:cs="Times New Roman"/>
          <w:color w:val="000000"/>
          <w:sz w:val="32"/>
          <w:szCs w:val="32"/>
          <w:u w:val="single"/>
          <w:lang w:val="en-US" w:eastAsia="zh-CN"/>
        </w:rPr>
        <w:t xml:space="preserve"> 一 </w:t>
      </w:r>
      <w:r>
        <w:rPr>
          <w:rFonts w:hint="eastAsia" w:ascii="Times New Roman" w:hAnsi="Times New Roman" w:eastAsia="仿宋_GB2312" w:cs="Times New Roman"/>
          <w:color w:val="000000"/>
          <w:sz w:val="32"/>
          <w:szCs w:val="32"/>
          <w:lang w:val="en-US" w:eastAsia="zh-CN"/>
        </w:rPr>
        <w:t>份送达，</w:t>
      </w:r>
      <w:r>
        <w:rPr>
          <w:rFonts w:hint="eastAsia" w:ascii="Times New Roman" w:hAnsi="Times New Roman" w:eastAsia="仿宋_GB2312" w:cs="Times New Roman"/>
          <w:color w:val="000000"/>
          <w:sz w:val="32"/>
          <w:szCs w:val="32"/>
          <w:u w:val="single"/>
          <w:lang w:val="en-US" w:eastAsia="zh-CN"/>
        </w:rPr>
        <w:t xml:space="preserve"> 一 </w:t>
      </w:r>
      <w:r>
        <w:rPr>
          <w:rFonts w:hint="eastAsia" w:ascii="Times New Roman" w:hAnsi="Times New Roman" w:eastAsia="仿宋_GB2312" w:cs="Times New Roman"/>
          <w:color w:val="000000"/>
          <w:sz w:val="32"/>
          <w:szCs w:val="32"/>
          <w:lang w:val="en-US" w:eastAsia="zh-CN"/>
        </w:rPr>
        <w:t>份归档，</w:t>
      </w:r>
      <w:r>
        <w:rPr>
          <w:rFonts w:hint="eastAsia" w:ascii="Times New Roman" w:hAnsi="Times New Roman" w:eastAsia="仿宋_GB2312" w:cs="Times New Roman"/>
          <w:color w:val="000000"/>
          <w:sz w:val="32"/>
          <w:szCs w:val="32"/>
          <w:u w:val="single"/>
          <w:lang w:val="en-US" w:eastAsia="zh-CN"/>
        </w:rPr>
        <w:t xml:space="preserve"> 一 </w:t>
      </w:r>
      <w:r>
        <w:rPr>
          <w:rFonts w:hint="eastAsia" w:ascii="Times New Roman" w:hAnsi="Times New Roman" w:eastAsia="仿宋_GB2312" w:cs="Times New Roman"/>
          <w:color w:val="000000"/>
          <w:sz w:val="32"/>
          <w:szCs w:val="32"/>
          <w:lang w:val="en-US" w:eastAsia="zh-CN"/>
        </w:rPr>
        <w:t>份留存。</w:t>
      </w:r>
    </w:p>
    <w:sectPr>
      <w:footerReference r:id="rId3" w:type="default"/>
      <w:footerReference r:id="rId4" w:type="even"/>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Arial Unicode MS">
    <w:panose1 w:val="020B0604020202020204"/>
    <w:charset w:val="86"/>
    <w:family w:val="roman"/>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both"/>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15"/>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left="210" w:leftChars="100" w:firstLine="140" w:firstLineChars="50"/>
      <w:rPr>
        <w:rFonts w:ascii="宋体" w:hAnsi="宋体"/>
        <w:sz w:val="28"/>
        <w:szCs w:val="28"/>
      </w:rPr>
    </w:pPr>
    <w:r>
      <w:rPr>
        <w:rStyle w:val="20"/>
        <w:rFonts w:hint="eastAsia" w:ascii="宋体" w:hAnsi="宋体"/>
        <w:sz w:val="28"/>
        <w:szCs w:val="28"/>
      </w:rPr>
      <w:t>—</w:t>
    </w:r>
    <w:r>
      <w:rPr>
        <w:rStyle w:val="20"/>
        <w:rFonts w:ascii="宋体" w:hAnsi="宋体"/>
        <w:sz w:val="28"/>
        <w:szCs w:val="28"/>
      </w:rPr>
      <w:fldChar w:fldCharType="begin"/>
    </w:r>
    <w:r>
      <w:rPr>
        <w:rStyle w:val="20"/>
        <w:rFonts w:ascii="宋体" w:hAnsi="宋体"/>
        <w:sz w:val="28"/>
        <w:szCs w:val="28"/>
      </w:rPr>
      <w:instrText xml:space="preserve"> PAGE  \* Arabic </w:instrText>
    </w:r>
    <w:r>
      <w:rPr>
        <w:rStyle w:val="20"/>
        <w:rFonts w:ascii="宋体" w:hAnsi="宋体"/>
        <w:sz w:val="28"/>
        <w:szCs w:val="28"/>
      </w:rPr>
      <w:fldChar w:fldCharType="separate"/>
    </w:r>
    <w:r>
      <w:rPr>
        <w:rStyle w:val="20"/>
        <w:rFonts w:ascii="宋体" w:hAnsi="宋体"/>
        <w:sz w:val="28"/>
        <w:szCs w:val="28"/>
      </w:rPr>
      <w:t>2</w:t>
    </w:r>
    <w:r>
      <w:rPr>
        <w:rStyle w:val="20"/>
        <w:rFonts w:ascii="宋体" w:hAnsi="宋体"/>
        <w:sz w:val="28"/>
        <w:szCs w:val="28"/>
      </w:rPr>
      <w:fldChar w:fldCharType="end"/>
    </w:r>
    <w:r>
      <w:rPr>
        <w:rStyle w:val="20"/>
        <w:rFonts w:hint="eastAsia" w:ascii="宋体" w:hAnsi="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448"/>
    <w:rsid w:val="000066D6"/>
    <w:rsid w:val="000071EB"/>
    <w:rsid w:val="00011BE1"/>
    <w:rsid w:val="000157A9"/>
    <w:rsid w:val="00023499"/>
    <w:rsid w:val="00023B2A"/>
    <w:rsid w:val="00023FC8"/>
    <w:rsid w:val="000255E4"/>
    <w:rsid w:val="00026972"/>
    <w:rsid w:val="000325BD"/>
    <w:rsid w:val="00040CBC"/>
    <w:rsid w:val="00042D10"/>
    <w:rsid w:val="0004473C"/>
    <w:rsid w:val="00047036"/>
    <w:rsid w:val="000525E4"/>
    <w:rsid w:val="00055EFE"/>
    <w:rsid w:val="000568AD"/>
    <w:rsid w:val="000617CC"/>
    <w:rsid w:val="00062ED1"/>
    <w:rsid w:val="00063AEC"/>
    <w:rsid w:val="00063BA0"/>
    <w:rsid w:val="00066633"/>
    <w:rsid w:val="000677A3"/>
    <w:rsid w:val="00075611"/>
    <w:rsid w:val="00077A4F"/>
    <w:rsid w:val="00084339"/>
    <w:rsid w:val="00084365"/>
    <w:rsid w:val="00084B47"/>
    <w:rsid w:val="00085E4B"/>
    <w:rsid w:val="000862DD"/>
    <w:rsid w:val="000869EB"/>
    <w:rsid w:val="00086D1E"/>
    <w:rsid w:val="000878B4"/>
    <w:rsid w:val="0009480E"/>
    <w:rsid w:val="00095547"/>
    <w:rsid w:val="000A69E1"/>
    <w:rsid w:val="000A6B37"/>
    <w:rsid w:val="000B2850"/>
    <w:rsid w:val="000B33C4"/>
    <w:rsid w:val="000B3EAC"/>
    <w:rsid w:val="000B7ED5"/>
    <w:rsid w:val="000C7034"/>
    <w:rsid w:val="000C74F4"/>
    <w:rsid w:val="000D34AB"/>
    <w:rsid w:val="000E1B20"/>
    <w:rsid w:val="000E241C"/>
    <w:rsid w:val="000E346A"/>
    <w:rsid w:val="000E3B61"/>
    <w:rsid w:val="000E6A70"/>
    <w:rsid w:val="00107EB3"/>
    <w:rsid w:val="001168C1"/>
    <w:rsid w:val="00116923"/>
    <w:rsid w:val="001176AE"/>
    <w:rsid w:val="001250ED"/>
    <w:rsid w:val="00125275"/>
    <w:rsid w:val="00126283"/>
    <w:rsid w:val="0012686F"/>
    <w:rsid w:val="00142AFC"/>
    <w:rsid w:val="001470F7"/>
    <w:rsid w:val="00154246"/>
    <w:rsid w:val="00155A94"/>
    <w:rsid w:val="001568E8"/>
    <w:rsid w:val="00160C1B"/>
    <w:rsid w:val="00161AD1"/>
    <w:rsid w:val="00165F88"/>
    <w:rsid w:val="0017222D"/>
    <w:rsid w:val="001747A2"/>
    <w:rsid w:val="0017557E"/>
    <w:rsid w:val="00176983"/>
    <w:rsid w:val="00177182"/>
    <w:rsid w:val="00180102"/>
    <w:rsid w:val="00183438"/>
    <w:rsid w:val="0018476E"/>
    <w:rsid w:val="001902AD"/>
    <w:rsid w:val="0019159D"/>
    <w:rsid w:val="00195C75"/>
    <w:rsid w:val="00197036"/>
    <w:rsid w:val="001A39E3"/>
    <w:rsid w:val="001A7C6F"/>
    <w:rsid w:val="001B2072"/>
    <w:rsid w:val="001C5D31"/>
    <w:rsid w:val="001C5E51"/>
    <w:rsid w:val="001C5FB6"/>
    <w:rsid w:val="001D2989"/>
    <w:rsid w:val="001D6445"/>
    <w:rsid w:val="001D73F0"/>
    <w:rsid w:val="001E330B"/>
    <w:rsid w:val="001F088E"/>
    <w:rsid w:val="001F0D93"/>
    <w:rsid w:val="00200B62"/>
    <w:rsid w:val="00201F12"/>
    <w:rsid w:val="00202BA8"/>
    <w:rsid w:val="00202D5F"/>
    <w:rsid w:val="002076A1"/>
    <w:rsid w:val="00210668"/>
    <w:rsid w:val="002112D5"/>
    <w:rsid w:val="00217681"/>
    <w:rsid w:val="002232F1"/>
    <w:rsid w:val="002234DE"/>
    <w:rsid w:val="00226C12"/>
    <w:rsid w:val="0022751E"/>
    <w:rsid w:val="00243812"/>
    <w:rsid w:val="002477CF"/>
    <w:rsid w:val="0025187B"/>
    <w:rsid w:val="00257E95"/>
    <w:rsid w:val="0026301A"/>
    <w:rsid w:val="002651EA"/>
    <w:rsid w:val="00273864"/>
    <w:rsid w:val="00274EC4"/>
    <w:rsid w:val="002838E0"/>
    <w:rsid w:val="002925EA"/>
    <w:rsid w:val="002B1E7B"/>
    <w:rsid w:val="002B2594"/>
    <w:rsid w:val="002C0F77"/>
    <w:rsid w:val="002C4A14"/>
    <w:rsid w:val="002D76C2"/>
    <w:rsid w:val="002F3255"/>
    <w:rsid w:val="002F5AC8"/>
    <w:rsid w:val="00300504"/>
    <w:rsid w:val="00301198"/>
    <w:rsid w:val="00303548"/>
    <w:rsid w:val="003101C5"/>
    <w:rsid w:val="00316D02"/>
    <w:rsid w:val="00316F72"/>
    <w:rsid w:val="003170CA"/>
    <w:rsid w:val="00317BCE"/>
    <w:rsid w:val="003216BE"/>
    <w:rsid w:val="00321AE6"/>
    <w:rsid w:val="0032343C"/>
    <w:rsid w:val="003244A7"/>
    <w:rsid w:val="00327A27"/>
    <w:rsid w:val="00332612"/>
    <w:rsid w:val="00336466"/>
    <w:rsid w:val="003378FD"/>
    <w:rsid w:val="00343302"/>
    <w:rsid w:val="00344A2F"/>
    <w:rsid w:val="003478F4"/>
    <w:rsid w:val="003513D9"/>
    <w:rsid w:val="00351CD0"/>
    <w:rsid w:val="00351D73"/>
    <w:rsid w:val="00352539"/>
    <w:rsid w:val="00354293"/>
    <w:rsid w:val="00360D65"/>
    <w:rsid w:val="00363EA7"/>
    <w:rsid w:val="00365F4B"/>
    <w:rsid w:val="00366FBA"/>
    <w:rsid w:val="00371AD5"/>
    <w:rsid w:val="00373908"/>
    <w:rsid w:val="003828A9"/>
    <w:rsid w:val="00385452"/>
    <w:rsid w:val="00387C2C"/>
    <w:rsid w:val="00393DF5"/>
    <w:rsid w:val="00394F67"/>
    <w:rsid w:val="00395C9D"/>
    <w:rsid w:val="003A1CFC"/>
    <w:rsid w:val="003A1E66"/>
    <w:rsid w:val="003A24D2"/>
    <w:rsid w:val="003A58A8"/>
    <w:rsid w:val="003B1E13"/>
    <w:rsid w:val="003B6353"/>
    <w:rsid w:val="003C6A23"/>
    <w:rsid w:val="003C6B9C"/>
    <w:rsid w:val="003D1C01"/>
    <w:rsid w:val="003D50C9"/>
    <w:rsid w:val="003E3D58"/>
    <w:rsid w:val="003E556B"/>
    <w:rsid w:val="003F1900"/>
    <w:rsid w:val="003F375B"/>
    <w:rsid w:val="003F6D7C"/>
    <w:rsid w:val="00401A75"/>
    <w:rsid w:val="00402DC8"/>
    <w:rsid w:val="00413D11"/>
    <w:rsid w:val="00414567"/>
    <w:rsid w:val="004225E6"/>
    <w:rsid w:val="00422C1F"/>
    <w:rsid w:val="00431459"/>
    <w:rsid w:val="004405EF"/>
    <w:rsid w:val="00442D4B"/>
    <w:rsid w:val="004432A6"/>
    <w:rsid w:val="0044686B"/>
    <w:rsid w:val="00447368"/>
    <w:rsid w:val="0045063C"/>
    <w:rsid w:val="00457014"/>
    <w:rsid w:val="00464AD4"/>
    <w:rsid w:val="00467580"/>
    <w:rsid w:val="00472930"/>
    <w:rsid w:val="00494234"/>
    <w:rsid w:val="00497E77"/>
    <w:rsid w:val="00497ED9"/>
    <w:rsid w:val="004C12E0"/>
    <w:rsid w:val="004C340B"/>
    <w:rsid w:val="004C35CF"/>
    <w:rsid w:val="004C3F51"/>
    <w:rsid w:val="004C5CE9"/>
    <w:rsid w:val="004C624D"/>
    <w:rsid w:val="004D1BC6"/>
    <w:rsid w:val="004D478F"/>
    <w:rsid w:val="004D74CD"/>
    <w:rsid w:val="004D7E84"/>
    <w:rsid w:val="004E1503"/>
    <w:rsid w:val="004E1B62"/>
    <w:rsid w:val="004E6A80"/>
    <w:rsid w:val="004F0172"/>
    <w:rsid w:val="004F0D41"/>
    <w:rsid w:val="004F31C3"/>
    <w:rsid w:val="004F3EE2"/>
    <w:rsid w:val="004F6259"/>
    <w:rsid w:val="004F6785"/>
    <w:rsid w:val="004F6819"/>
    <w:rsid w:val="00500E48"/>
    <w:rsid w:val="00502F5B"/>
    <w:rsid w:val="005039E0"/>
    <w:rsid w:val="005049B6"/>
    <w:rsid w:val="00505A4D"/>
    <w:rsid w:val="00506136"/>
    <w:rsid w:val="00510B4C"/>
    <w:rsid w:val="00510DD6"/>
    <w:rsid w:val="0051723D"/>
    <w:rsid w:val="005200A7"/>
    <w:rsid w:val="00523805"/>
    <w:rsid w:val="00524BFA"/>
    <w:rsid w:val="00526608"/>
    <w:rsid w:val="00526CF7"/>
    <w:rsid w:val="00527BD7"/>
    <w:rsid w:val="00530197"/>
    <w:rsid w:val="005310EF"/>
    <w:rsid w:val="00535825"/>
    <w:rsid w:val="00535893"/>
    <w:rsid w:val="005373E9"/>
    <w:rsid w:val="00537E63"/>
    <w:rsid w:val="00540ED1"/>
    <w:rsid w:val="0054541A"/>
    <w:rsid w:val="00547DB0"/>
    <w:rsid w:val="00551F1D"/>
    <w:rsid w:val="00555064"/>
    <w:rsid w:val="005563A4"/>
    <w:rsid w:val="00561E45"/>
    <w:rsid w:val="0056365B"/>
    <w:rsid w:val="0056415F"/>
    <w:rsid w:val="005651E5"/>
    <w:rsid w:val="00575AD1"/>
    <w:rsid w:val="00577D98"/>
    <w:rsid w:val="00581161"/>
    <w:rsid w:val="00585697"/>
    <w:rsid w:val="005902A6"/>
    <w:rsid w:val="005907BE"/>
    <w:rsid w:val="00591604"/>
    <w:rsid w:val="005A1B91"/>
    <w:rsid w:val="005A1BD1"/>
    <w:rsid w:val="005A788D"/>
    <w:rsid w:val="005B2B3E"/>
    <w:rsid w:val="005C0060"/>
    <w:rsid w:val="005C097F"/>
    <w:rsid w:val="005C2138"/>
    <w:rsid w:val="005C57F5"/>
    <w:rsid w:val="005D18CE"/>
    <w:rsid w:val="005D6360"/>
    <w:rsid w:val="005D76F9"/>
    <w:rsid w:val="005E27C9"/>
    <w:rsid w:val="005E3ED2"/>
    <w:rsid w:val="005E4E33"/>
    <w:rsid w:val="005E7FF5"/>
    <w:rsid w:val="005F015A"/>
    <w:rsid w:val="00603181"/>
    <w:rsid w:val="00603FDC"/>
    <w:rsid w:val="006127B6"/>
    <w:rsid w:val="00613626"/>
    <w:rsid w:val="006146EF"/>
    <w:rsid w:val="0061478F"/>
    <w:rsid w:val="00620A91"/>
    <w:rsid w:val="0062278D"/>
    <w:rsid w:val="00623C18"/>
    <w:rsid w:val="0062540B"/>
    <w:rsid w:val="0063672F"/>
    <w:rsid w:val="00641DE3"/>
    <w:rsid w:val="00644DAD"/>
    <w:rsid w:val="00646ADD"/>
    <w:rsid w:val="00650223"/>
    <w:rsid w:val="0065035F"/>
    <w:rsid w:val="0065206B"/>
    <w:rsid w:val="0065606C"/>
    <w:rsid w:val="00657727"/>
    <w:rsid w:val="00657A88"/>
    <w:rsid w:val="00664379"/>
    <w:rsid w:val="00664A4A"/>
    <w:rsid w:val="0066644A"/>
    <w:rsid w:val="00670C97"/>
    <w:rsid w:val="00671084"/>
    <w:rsid w:val="00672F80"/>
    <w:rsid w:val="00673FB3"/>
    <w:rsid w:val="006744F5"/>
    <w:rsid w:val="00674719"/>
    <w:rsid w:val="00680BFA"/>
    <w:rsid w:val="006832E2"/>
    <w:rsid w:val="00686269"/>
    <w:rsid w:val="006867BC"/>
    <w:rsid w:val="006873F9"/>
    <w:rsid w:val="00693C1C"/>
    <w:rsid w:val="00694F8C"/>
    <w:rsid w:val="00695535"/>
    <w:rsid w:val="006A0D51"/>
    <w:rsid w:val="006B0919"/>
    <w:rsid w:val="006B2E47"/>
    <w:rsid w:val="006B354E"/>
    <w:rsid w:val="006B700A"/>
    <w:rsid w:val="006C0318"/>
    <w:rsid w:val="006C46C8"/>
    <w:rsid w:val="006D1090"/>
    <w:rsid w:val="006D6D1C"/>
    <w:rsid w:val="006D7C52"/>
    <w:rsid w:val="006E2294"/>
    <w:rsid w:val="006F2081"/>
    <w:rsid w:val="006F2543"/>
    <w:rsid w:val="006F617C"/>
    <w:rsid w:val="006F7979"/>
    <w:rsid w:val="00704615"/>
    <w:rsid w:val="00710066"/>
    <w:rsid w:val="00715F13"/>
    <w:rsid w:val="007161A8"/>
    <w:rsid w:val="007203B6"/>
    <w:rsid w:val="00723518"/>
    <w:rsid w:val="00726A30"/>
    <w:rsid w:val="0073230D"/>
    <w:rsid w:val="0073735C"/>
    <w:rsid w:val="007438F5"/>
    <w:rsid w:val="007456CF"/>
    <w:rsid w:val="007545F5"/>
    <w:rsid w:val="00755B00"/>
    <w:rsid w:val="007608CF"/>
    <w:rsid w:val="00762E1F"/>
    <w:rsid w:val="00763C63"/>
    <w:rsid w:val="00773950"/>
    <w:rsid w:val="00775E8F"/>
    <w:rsid w:val="0078141C"/>
    <w:rsid w:val="00783EF3"/>
    <w:rsid w:val="007846D9"/>
    <w:rsid w:val="00784F31"/>
    <w:rsid w:val="00790EB5"/>
    <w:rsid w:val="00792635"/>
    <w:rsid w:val="007A088F"/>
    <w:rsid w:val="007A2D9A"/>
    <w:rsid w:val="007A31DF"/>
    <w:rsid w:val="007A70EF"/>
    <w:rsid w:val="007A7B31"/>
    <w:rsid w:val="007B2F0B"/>
    <w:rsid w:val="007B5002"/>
    <w:rsid w:val="007B5D8F"/>
    <w:rsid w:val="007B7482"/>
    <w:rsid w:val="007C3E8C"/>
    <w:rsid w:val="007C5F0C"/>
    <w:rsid w:val="007D22E5"/>
    <w:rsid w:val="007D320F"/>
    <w:rsid w:val="007E0A03"/>
    <w:rsid w:val="007E468B"/>
    <w:rsid w:val="007E475A"/>
    <w:rsid w:val="007E5201"/>
    <w:rsid w:val="007E58DA"/>
    <w:rsid w:val="007F3906"/>
    <w:rsid w:val="007F3D07"/>
    <w:rsid w:val="007F403A"/>
    <w:rsid w:val="007F433B"/>
    <w:rsid w:val="007F5D04"/>
    <w:rsid w:val="008006A0"/>
    <w:rsid w:val="00802AA2"/>
    <w:rsid w:val="00824E17"/>
    <w:rsid w:val="00825F85"/>
    <w:rsid w:val="00826BD6"/>
    <w:rsid w:val="00831D6F"/>
    <w:rsid w:val="0084059D"/>
    <w:rsid w:val="00843CF1"/>
    <w:rsid w:val="0084591A"/>
    <w:rsid w:val="00846C6C"/>
    <w:rsid w:val="00847BF6"/>
    <w:rsid w:val="008511CC"/>
    <w:rsid w:val="00851929"/>
    <w:rsid w:val="00851A2B"/>
    <w:rsid w:val="00852B82"/>
    <w:rsid w:val="00853C7D"/>
    <w:rsid w:val="00865E4B"/>
    <w:rsid w:val="008670B3"/>
    <w:rsid w:val="00870CE9"/>
    <w:rsid w:val="00873B39"/>
    <w:rsid w:val="008763EE"/>
    <w:rsid w:val="00880DAB"/>
    <w:rsid w:val="00880E60"/>
    <w:rsid w:val="00883BC7"/>
    <w:rsid w:val="00884A89"/>
    <w:rsid w:val="00884BF2"/>
    <w:rsid w:val="0088729C"/>
    <w:rsid w:val="00890E28"/>
    <w:rsid w:val="00892A2C"/>
    <w:rsid w:val="008936B8"/>
    <w:rsid w:val="00894BE9"/>
    <w:rsid w:val="008951DA"/>
    <w:rsid w:val="00896BFB"/>
    <w:rsid w:val="008A0432"/>
    <w:rsid w:val="008A6E16"/>
    <w:rsid w:val="008B1795"/>
    <w:rsid w:val="008B3EB9"/>
    <w:rsid w:val="008B67F1"/>
    <w:rsid w:val="008C01B8"/>
    <w:rsid w:val="008C31AE"/>
    <w:rsid w:val="008C37EC"/>
    <w:rsid w:val="008C4ED0"/>
    <w:rsid w:val="008C4F62"/>
    <w:rsid w:val="008C5C11"/>
    <w:rsid w:val="008D35B8"/>
    <w:rsid w:val="008D5745"/>
    <w:rsid w:val="008F0CEF"/>
    <w:rsid w:val="008F58EF"/>
    <w:rsid w:val="0090382B"/>
    <w:rsid w:val="00906E31"/>
    <w:rsid w:val="00907F40"/>
    <w:rsid w:val="0091356C"/>
    <w:rsid w:val="00922BDD"/>
    <w:rsid w:val="0092552F"/>
    <w:rsid w:val="00934811"/>
    <w:rsid w:val="00935D79"/>
    <w:rsid w:val="009363E3"/>
    <w:rsid w:val="00941FAB"/>
    <w:rsid w:val="009420FF"/>
    <w:rsid w:val="00943ACA"/>
    <w:rsid w:val="009449D4"/>
    <w:rsid w:val="00945314"/>
    <w:rsid w:val="0094678F"/>
    <w:rsid w:val="00950612"/>
    <w:rsid w:val="009515B0"/>
    <w:rsid w:val="00953611"/>
    <w:rsid w:val="009675D7"/>
    <w:rsid w:val="00970155"/>
    <w:rsid w:val="00982829"/>
    <w:rsid w:val="00983EC5"/>
    <w:rsid w:val="00983ED9"/>
    <w:rsid w:val="009856BC"/>
    <w:rsid w:val="00986234"/>
    <w:rsid w:val="00990302"/>
    <w:rsid w:val="0099091A"/>
    <w:rsid w:val="00994DD4"/>
    <w:rsid w:val="009950F4"/>
    <w:rsid w:val="00995CC7"/>
    <w:rsid w:val="009A177F"/>
    <w:rsid w:val="009A1EE9"/>
    <w:rsid w:val="009A2F5B"/>
    <w:rsid w:val="009A3169"/>
    <w:rsid w:val="009A3D9B"/>
    <w:rsid w:val="009C1513"/>
    <w:rsid w:val="009C5B36"/>
    <w:rsid w:val="009D0DFF"/>
    <w:rsid w:val="009D2E81"/>
    <w:rsid w:val="009D3E7D"/>
    <w:rsid w:val="009D5DB4"/>
    <w:rsid w:val="009D6503"/>
    <w:rsid w:val="009D7B26"/>
    <w:rsid w:val="009E1448"/>
    <w:rsid w:val="00A05D13"/>
    <w:rsid w:val="00A06452"/>
    <w:rsid w:val="00A06EB9"/>
    <w:rsid w:val="00A070CD"/>
    <w:rsid w:val="00A07D66"/>
    <w:rsid w:val="00A244E1"/>
    <w:rsid w:val="00A24798"/>
    <w:rsid w:val="00A35DFA"/>
    <w:rsid w:val="00A3720E"/>
    <w:rsid w:val="00A4155D"/>
    <w:rsid w:val="00A44D9B"/>
    <w:rsid w:val="00A52724"/>
    <w:rsid w:val="00A52C6C"/>
    <w:rsid w:val="00A542F0"/>
    <w:rsid w:val="00A568E3"/>
    <w:rsid w:val="00A632D9"/>
    <w:rsid w:val="00A6506F"/>
    <w:rsid w:val="00A73A04"/>
    <w:rsid w:val="00A757BD"/>
    <w:rsid w:val="00A80611"/>
    <w:rsid w:val="00A82AB6"/>
    <w:rsid w:val="00A85574"/>
    <w:rsid w:val="00A85920"/>
    <w:rsid w:val="00A87F71"/>
    <w:rsid w:val="00A90993"/>
    <w:rsid w:val="00A90CE7"/>
    <w:rsid w:val="00A92033"/>
    <w:rsid w:val="00AA120C"/>
    <w:rsid w:val="00AA58D0"/>
    <w:rsid w:val="00AA6A4A"/>
    <w:rsid w:val="00AB1D0D"/>
    <w:rsid w:val="00AB2F77"/>
    <w:rsid w:val="00AB35BC"/>
    <w:rsid w:val="00AB60DF"/>
    <w:rsid w:val="00AC41A5"/>
    <w:rsid w:val="00AC46EC"/>
    <w:rsid w:val="00AC5E2D"/>
    <w:rsid w:val="00AD4297"/>
    <w:rsid w:val="00AD6025"/>
    <w:rsid w:val="00AD7D08"/>
    <w:rsid w:val="00AE4487"/>
    <w:rsid w:val="00AE724F"/>
    <w:rsid w:val="00AF353D"/>
    <w:rsid w:val="00B14362"/>
    <w:rsid w:val="00B150CD"/>
    <w:rsid w:val="00B20547"/>
    <w:rsid w:val="00B24294"/>
    <w:rsid w:val="00B315BF"/>
    <w:rsid w:val="00B31BB7"/>
    <w:rsid w:val="00B31C32"/>
    <w:rsid w:val="00B45817"/>
    <w:rsid w:val="00B509F1"/>
    <w:rsid w:val="00B50D9C"/>
    <w:rsid w:val="00B53532"/>
    <w:rsid w:val="00B56AAB"/>
    <w:rsid w:val="00B61B9A"/>
    <w:rsid w:val="00B61D4E"/>
    <w:rsid w:val="00B644B0"/>
    <w:rsid w:val="00B66EC2"/>
    <w:rsid w:val="00B71469"/>
    <w:rsid w:val="00B826EA"/>
    <w:rsid w:val="00B833E2"/>
    <w:rsid w:val="00B84A8A"/>
    <w:rsid w:val="00B85470"/>
    <w:rsid w:val="00B86D6B"/>
    <w:rsid w:val="00B8739A"/>
    <w:rsid w:val="00B87CF5"/>
    <w:rsid w:val="00B90B37"/>
    <w:rsid w:val="00B90C99"/>
    <w:rsid w:val="00B9312A"/>
    <w:rsid w:val="00B93FA5"/>
    <w:rsid w:val="00B948C4"/>
    <w:rsid w:val="00B95471"/>
    <w:rsid w:val="00B97A59"/>
    <w:rsid w:val="00B97DA8"/>
    <w:rsid w:val="00BA329E"/>
    <w:rsid w:val="00BA6039"/>
    <w:rsid w:val="00BA6560"/>
    <w:rsid w:val="00BB01FA"/>
    <w:rsid w:val="00BB42C9"/>
    <w:rsid w:val="00BB5F0C"/>
    <w:rsid w:val="00BB6CA6"/>
    <w:rsid w:val="00BC0F8D"/>
    <w:rsid w:val="00BC12C8"/>
    <w:rsid w:val="00BC743B"/>
    <w:rsid w:val="00BD212B"/>
    <w:rsid w:val="00BD52D0"/>
    <w:rsid w:val="00BE7E0F"/>
    <w:rsid w:val="00BF0457"/>
    <w:rsid w:val="00BF0853"/>
    <w:rsid w:val="00BF1266"/>
    <w:rsid w:val="00BF3675"/>
    <w:rsid w:val="00C058FD"/>
    <w:rsid w:val="00C065FD"/>
    <w:rsid w:val="00C109E2"/>
    <w:rsid w:val="00C114C0"/>
    <w:rsid w:val="00C11917"/>
    <w:rsid w:val="00C123AF"/>
    <w:rsid w:val="00C15C01"/>
    <w:rsid w:val="00C16ED2"/>
    <w:rsid w:val="00C17336"/>
    <w:rsid w:val="00C17794"/>
    <w:rsid w:val="00C20100"/>
    <w:rsid w:val="00C204B8"/>
    <w:rsid w:val="00C20886"/>
    <w:rsid w:val="00C23718"/>
    <w:rsid w:val="00C24806"/>
    <w:rsid w:val="00C26677"/>
    <w:rsid w:val="00C30586"/>
    <w:rsid w:val="00C334B0"/>
    <w:rsid w:val="00C35066"/>
    <w:rsid w:val="00C40A13"/>
    <w:rsid w:val="00C425DC"/>
    <w:rsid w:val="00C55860"/>
    <w:rsid w:val="00C55AAE"/>
    <w:rsid w:val="00C57213"/>
    <w:rsid w:val="00C57DFB"/>
    <w:rsid w:val="00C60F14"/>
    <w:rsid w:val="00C63E16"/>
    <w:rsid w:val="00C701CD"/>
    <w:rsid w:val="00C74F72"/>
    <w:rsid w:val="00C80868"/>
    <w:rsid w:val="00C80F1E"/>
    <w:rsid w:val="00C81827"/>
    <w:rsid w:val="00C829A3"/>
    <w:rsid w:val="00C82FB9"/>
    <w:rsid w:val="00C85B96"/>
    <w:rsid w:val="00C86710"/>
    <w:rsid w:val="00C879F5"/>
    <w:rsid w:val="00C91203"/>
    <w:rsid w:val="00C91333"/>
    <w:rsid w:val="00C9409B"/>
    <w:rsid w:val="00C97A6E"/>
    <w:rsid w:val="00CA3366"/>
    <w:rsid w:val="00CA530B"/>
    <w:rsid w:val="00CA6E8E"/>
    <w:rsid w:val="00CB001D"/>
    <w:rsid w:val="00CB0E71"/>
    <w:rsid w:val="00CB1CE3"/>
    <w:rsid w:val="00CB2541"/>
    <w:rsid w:val="00CB2C7D"/>
    <w:rsid w:val="00CB72FB"/>
    <w:rsid w:val="00CC24BC"/>
    <w:rsid w:val="00CC647B"/>
    <w:rsid w:val="00CD1646"/>
    <w:rsid w:val="00CD55ED"/>
    <w:rsid w:val="00CD7D4D"/>
    <w:rsid w:val="00CE2FA4"/>
    <w:rsid w:val="00CE3AC9"/>
    <w:rsid w:val="00CF1FE0"/>
    <w:rsid w:val="00CF37BA"/>
    <w:rsid w:val="00CF58D1"/>
    <w:rsid w:val="00CF7148"/>
    <w:rsid w:val="00CF756B"/>
    <w:rsid w:val="00D03E48"/>
    <w:rsid w:val="00D04F3F"/>
    <w:rsid w:val="00D0517A"/>
    <w:rsid w:val="00D05374"/>
    <w:rsid w:val="00D1056B"/>
    <w:rsid w:val="00D11E92"/>
    <w:rsid w:val="00D13D75"/>
    <w:rsid w:val="00D15FD6"/>
    <w:rsid w:val="00D16DBF"/>
    <w:rsid w:val="00D244FB"/>
    <w:rsid w:val="00D253D8"/>
    <w:rsid w:val="00D25F74"/>
    <w:rsid w:val="00D3181D"/>
    <w:rsid w:val="00D34585"/>
    <w:rsid w:val="00D345EB"/>
    <w:rsid w:val="00D3721E"/>
    <w:rsid w:val="00D44284"/>
    <w:rsid w:val="00D4599D"/>
    <w:rsid w:val="00D50116"/>
    <w:rsid w:val="00D50D7E"/>
    <w:rsid w:val="00D53BCF"/>
    <w:rsid w:val="00D56528"/>
    <w:rsid w:val="00D644BD"/>
    <w:rsid w:val="00D67157"/>
    <w:rsid w:val="00D71FC5"/>
    <w:rsid w:val="00D74A26"/>
    <w:rsid w:val="00D757B4"/>
    <w:rsid w:val="00D76058"/>
    <w:rsid w:val="00D765EB"/>
    <w:rsid w:val="00D80940"/>
    <w:rsid w:val="00D809E6"/>
    <w:rsid w:val="00D81538"/>
    <w:rsid w:val="00D8519F"/>
    <w:rsid w:val="00D878DC"/>
    <w:rsid w:val="00D967EA"/>
    <w:rsid w:val="00DA6ADC"/>
    <w:rsid w:val="00DB31F7"/>
    <w:rsid w:val="00DC3140"/>
    <w:rsid w:val="00DC4F0E"/>
    <w:rsid w:val="00DC77C8"/>
    <w:rsid w:val="00DD3C07"/>
    <w:rsid w:val="00DD673E"/>
    <w:rsid w:val="00DD6FD2"/>
    <w:rsid w:val="00DE42B0"/>
    <w:rsid w:val="00DF5834"/>
    <w:rsid w:val="00E0068A"/>
    <w:rsid w:val="00E009E2"/>
    <w:rsid w:val="00E00DD3"/>
    <w:rsid w:val="00E00F71"/>
    <w:rsid w:val="00E01527"/>
    <w:rsid w:val="00E01533"/>
    <w:rsid w:val="00E11CC4"/>
    <w:rsid w:val="00E160B9"/>
    <w:rsid w:val="00E16D49"/>
    <w:rsid w:val="00E2183B"/>
    <w:rsid w:val="00E23CF3"/>
    <w:rsid w:val="00E313C8"/>
    <w:rsid w:val="00E33908"/>
    <w:rsid w:val="00E36957"/>
    <w:rsid w:val="00E41501"/>
    <w:rsid w:val="00E430ED"/>
    <w:rsid w:val="00E53466"/>
    <w:rsid w:val="00E65F08"/>
    <w:rsid w:val="00E736E1"/>
    <w:rsid w:val="00E74296"/>
    <w:rsid w:val="00E74AC0"/>
    <w:rsid w:val="00E82577"/>
    <w:rsid w:val="00E86A0A"/>
    <w:rsid w:val="00E87ACD"/>
    <w:rsid w:val="00E932A5"/>
    <w:rsid w:val="00E9397E"/>
    <w:rsid w:val="00E96606"/>
    <w:rsid w:val="00EA593A"/>
    <w:rsid w:val="00EA7CD9"/>
    <w:rsid w:val="00EB211A"/>
    <w:rsid w:val="00EC028F"/>
    <w:rsid w:val="00EC1F87"/>
    <w:rsid w:val="00EC57EB"/>
    <w:rsid w:val="00EC692D"/>
    <w:rsid w:val="00EC7DCF"/>
    <w:rsid w:val="00ED3833"/>
    <w:rsid w:val="00ED4EC9"/>
    <w:rsid w:val="00EE4A70"/>
    <w:rsid w:val="00EF0986"/>
    <w:rsid w:val="00EF141D"/>
    <w:rsid w:val="00EF1791"/>
    <w:rsid w:val="00F052C1"/>
    <w:rsid w:val="00F062B4"/>
    <w:rsid w:val="00F062C2"/>
    <w:rsid w:val="00F15041"/>
    <w:rsid w:val="00F171E4"/>
    <w:rsid w:val="00F20F27"/>
    <w:rsid w:val="00F2116C"/>
    <w:rsid w:val="00F223FA"/>
    <w:rsid w:val="00F260B1"/>
    <w:rsid w:val="00F26AAB"/>
    <w:rsid w:val="00F311AE"/>
    <w:rsid w:val="00F35EDF"/>
    <w:rsid w:val="00F41621"/>
    <w:rsid w:val="00F45B9C"/>
    <w:rsid w:val="00F473B2"/>
    <w:rsid w:val="00F50A07"/>
    <w:rsid w:val="00F5205C"/>
    <w:rsid w:val="00F56620"/>
    <w:rsid w:val="00F61EAA"/>
    <w:rsid w:val="00F62F0E"/>
    <w:rsid w:val="00F665E0"/>
    <w:rsid w:val="00F675C0"/>
    <w:rsid w:val="00F819A8"/>
    <w:rsid w:val="00F83CC0"/>
    <w:rsid w:val="00F849E4"/>
    <w:rsid w:val="00F8784F"/>
    <w:rsid w:val="00F9025D"/>
    <w:rsid w:val="00F92959"/>
    <w:rsid w:val="00F94B4A"/>
    <w:rsid w:val="00F96025"/>
    <w:rsid w:val="00F96568"/>
    <w:rsid w:val="00F979C5"/>
    <w:rsid w:val="00FA1902"/>
    <w:rsid w:val="00FB1566"/>
    <w:rsid w:val="00FB2518"/>
    <w:rsid w:val="00FC4DC8"/>
    <w:rsid w:val="00FD26A9"/>
    <w:rsid w:val="00FE03A8"/>
    <w:rsid w:val="00FE1919"/>
    <w:rsid w:val="00FE2F62"/>
    <w:rsid w:val="00FE482D"/>
    <w:rsid w:val="00FF06F9"/>
    <w:rsid w:val="00FF08B6"/>
    <w:rsid w:val="00FF32F2"/>
    <w:rsid w:val="00FF357F"/>
    <w:rsid w:val="00FF6F91"/>
    <w:rsid w:val="011455D8"/>
    <w:rsid w:val="012E552B"/>
    <w:rsid w:val="016A55BC"/>
    <w:rsid w:val="016C16D9"/>
    <w:rsid w:val="017F60E1"/>
    <w:rsid w:val="01BF563F"/>
    <w:rsid w:val="01D57E60"/>
    <w:rsid w:val="01E01000"/>
    <w:rsid w:val="01E2611D"/>
    <w:rsid w:val="020B5774"/>
    <w:rsid w:val="02171F50"/>
    <w:rsid w:val="021E3D06"/>
    <w:rsid w:val="022646E2"/>
    <w:rsid w:val="02507ED4"/>
    <w:rsid w:val="027F7900"/>
    <w:rsid w:val="028C6D48"/>
    <w:rsid w:val="02CC3A1B"/>
    <w:rsid w:val="02EA3165"/>
    <w:rsid w:val="02EF0B06"/>
    <w:rsid w:val="030366F7"/>
    <w:rsid w:val="030E52EA"/>
    <w:rsid w:val="031018EE"/>
    <w:rsid w:val="031A4DBB"/>
    <w:rsid w:val="03286B9D"/>
    <w:rsid w:val="033B23B1"/>
    <w:rsid w:val="033C217E"/>
    <w:rsid w:val="036C0177"/>
    <w:rsid w:val="03AE7A2D"/>
    <w:rsid w:val="03CB7F20"/>
    <w:rsid w:val="03D15E9D"/>
    <w:rsid w:val="03D21A1D"/>
    <w:rsid w:val="03EB1C47"/>
    <w:rsid w:val="03ED10C3"/>
    <w:rsid w:val="042F09AF"/>
    <w:rsid w:val="04635F47"/>
    <w:rsid w:val="04725098"/>
    <w:rsid w:val="04883FFB"/>
    <w:rsid w:val="048E3362"/>
    <w:rsid w:val="049D57CF"/>
    <w:rsid w:val="04AE7793"/>
    <w:rsid w:val="04C62D7A"/>
    <w:rsid w:val="04D15B57"/>
    <w:rsid w:val="04DE54BC"/>
    <w:rsid w:val="05096384"/>
    <w:rsid w:val="052E6AF8"/>
    <w:rsid w:val="05356924"/>
    <w:rsid w:val="0544051D"/>
    <w:rsid w:val="055614F3"/>
    <w:rsid w:val="05666455"/>
    <w:rsid w:val="056B7FD8"/>
    <w:rsid w:val="058A5D74"/>
    <w:rsid w:val="059A7668"/>
    <w:rsid w:val="05CA76E9"/>
    <w:rsid w:val="05EB76DE"/>
    <w:rsid w:val="05F131DF"/>
    <w:rsid w:val="05FE5E6A"/>
    <w:rsid w:val="06114F91"/>
    <w:rsid w:val="06117FFB"/>
    <w:rsid w:val="062C1151"/>
    <w:rsid w:val="065D13E1"/>
    <w:rsid w:val="06840A7B"/>
    <w:rsid w:val="06E65246"/>
    <w:rsid w:val="0736244E"/>
    <w:rsid w:val="073C58BF"/>
    <w:rsid w:val="07470A5B"/>
    <w:rsid w:val="075A78D1"/>
    <w:rsid w:val="07613854"/>
    <w:rsid w:val="07867ABE"/>
    <w:rsid w:val="07924186"/>
    <w:rsid w:val="07A44B35"/>
    <w:rsid w:val="07BA436C"/>
    <w:rsid w:val="07E2602D"/>
    <w:rsid w:val="07EC7DED"/>
    <w:rsid w:val="07EF0716"/>
    <w:rsid w:val="08246980"/>
    <w:rsid w:val="082538F1"/>
    <w:rsid w:val="082E5962"/>
    <w:rsid w:val="0838116E"/>
    <w:rsid w:val="083A327A"/>
    <w:rsid w:val="08641D96"/>
    <w:rsid w:val="089C57CF"/>
    <w:rsid w:val="08B731F8"/>
    <w:rsid w:val="08C74B8F"/>
    <w:rsid w:val="08D047B0"/>
    <w:rsid w:val="08E8283E"/>
    <w:rsid w:val="09145DFF"/>
    <w:rsid w:val="091E5CF4"/>
    <w:rsid w:val="092F7ADD"/>
    <w:rsid w:val="093257DD"/>
    <w:rsid w:val="09393AC3"/>
    <w:rsid w:val="09480337"/>
    <w:rsid w:val="094977B2"/>
    <w:rsid w:val="097775E8"/>
    <w:rsid w:val="099468E8"/>
    <w:rsid w:val="09BE3B01"/>
    <w:rsid w:val="09C059C0"/>
    <w:rsid w:val="09DE299A"/>
    <w:rsid w:val="09FC4240"/>
    <w:rsid w:val="0A2469AB"/>
    <w:rsid w:val="0A406949"/>
    <w:rsid w:val="0A85277A"/>
    <w:rsid w:val="0AA979CD"/>
    <w:rsid w:val="0ACD672B"/>
    <w:rsid w:val="0AD1183C"/>
    <w:rsid w:val="0AD53B95"/>
    <w:rsid w:val="0ADA084A"/>
    <w:rsid w:val="0B0F65EA"/>
    <w:rsid w:val="0B2A217B"/>
    <w:rsid w:val="0B2A6AB1"/>
    <w:rsid w:val="0B2B0729"/>
    <w:rsid w:val="0B353E1F"/>
    <w:rsid w:val="0B3F7623"/>
    <w:rsid w:val="0B4B1319"/>
    <w:rsid w:val="0BEB3768"/>
    <w:rsid w:val="0C1A0D01"/>
    <w:rsid w:val="0C211E50"/>
    <w:rsid w:val="0C2146E2"/>
    <w:rsid w:val="0C4F72F8"/>
    <w:rsid w:val="0C7066B1"/>
    <w:rsid w:val="0C8F37B5"/>
    <w:rsid w:val="0CB01410"/>
    <w:rsid w:val="0CBB37CD"/>
    <w:rsid w:val="0CCD2233"/>
    <w:rsid w:val="0CE76B17"/>
    <w:rsid w:val="0CEF361A"/>
    <w:rsid w:val="0D084B26"/>
    <w:rsid w:val="0D091532"/>
    <w:rsid w:val="0D094E24"/>
    <w:rsid w:val="0D0A0F87"/>
    <w:rsid w:val="0D2E4AA7"/>
    <w:rsid w:val="0D3D208B"/>
    <w:rsid w:val="0D516D84"/>
    <w:rsid w:val="0D710318"/>
    <w:rsid w:val="0D714F5C"/>
    <w:rsid w:val="0D8C29BC"/>
    <w:rsid w:val="0D920BF5"/>
    <w:rsid w:val="0DF67ABC"/>
    <w:rsid w:val="0E0F34BA"/>
    <w:rsid w:val="0E1F47E4"/>
    <w:rsid w:val="0E1F6057"/>
    <w:rsid w:val="0E464DBA"/>
    <w:rsid w:val="0E4A1982"/>
    <w:rsid w:val="0E7F7FF8"/>
    <w:rsid w:val="0E802BAF"/>
    <w:rsid w:val="0E951D39"/>
    <w:rsid w:val="0EC16F36"/>
    <w:rsid w:val="0EED7D1F"/>
    <w:rsid w:val="0EF1430C"/>
    <w:rsid w:val="0EF402FB"/>
    <w:rsid w:val="0EF96E53"/>
    <w:rsid w:val="0EFD53FD"/>
    <w:rsid w:val="0F2273FE"/>
    <w:rsid w:val="0F3574EB"/>
    <w:rsid w:val="0F3954A2"/>
    <w:rsid w:val="0F3C0631"/>
    <w:rsid w:val="0F3F2D16"/>
    <w:rsid w:val="0F480EBD"/>
    <w:rsid w:val="0F4E7C4A"/>
    <w:rsid w:val="0F5234C4"/>
    <w:rsid w:val="0F535510"/>
    <w:rsid w:val="0F603EFD"/>
    <w:rsid w:val="0F8A013A"/>
    <w:rsid w:val="0F922ADD"/>
    <w:rsid w:val="0FBD4514"/>
    <w:rsid w:val="0FD244B9"/>
    <w:rsid w:val="0FD55067"/>
    <w:rsid w:val="0FEF0BC9"/>
    <w:rsid w:val="0FF65050"/>
    <w:rsid w:val="10100B4B"/>
    <w:rsid w:val="101114FA"/>
    <w:rsid w:val="107D76B4"/>
    <w:rsid w:val="107E021E"/>
    <w:rsid w:val="10874E3A"/>
    <w:rsid w:val="10C01B0F"/>
    <w:rsid w:val="110244ED"/>
    <w:rsid w:val="11223D21"/>
    <w:rsid w:val="115228D8"/>
    <w:rsid w:val="1160145B"/>
    <w:rsid w:val="11B96AEC"/>
    <w:rsid w:val="11D552C5"/>
    <w:rsid w:val="11EF0843"/>
    <w:rsid w:val="11FC1EBA"/>
    <w:rsid w:val="12204A76"/>
    <w:rsid w:val="123A1C1E"/>
    <w:rsid w:val="1259021D"/>
    <w:rsid w:val="126861B1"/>
    <w:rsid w:val="127707EA"/>
    <w:rsid w:val="12815E88"/>
    <w:rsid w:val="128D423D"/>
    <w:rsid w:val="12963B9F"/>
    <w:rsid w:val="12CB2B84"/>
    <w:rsid w:val="12D025D4"/>
    <w:rsid w:val="12E570F7"/>
    <w:rsid w:val="1335036D"/>
    <w:rsid w:val="134A54FC"/>
    <w:rsid w:val="13936FF0"/>
    <w:rsid w:val="13A7399D"/>
    <w:rsid w:val="13E11746"/>
    <w:rsid w:val="13E316E0"/>
    <w:rsid w:val="13EB269A"/>
    <w:rsid w:val="13F774F8"/>
    <w:rsid w:val="14365E82"/>
    <w:rsid w:val="14390AD4"/>
    <w:rsid w:val="146B369C"/>
    <w:rsid w:val="14723A51"/>
    <w:rsid w:val="147A7B0B"/>
    <w:rsid w:val="149F6D18"/>
    <w:rsid w:val="14BE1B4C"/>
    <w:rsid w:val="14F445BF"/>
    <w:rsid w:val="150601C7"/>
    <w:rsid w:val="15093E96"/>
    <w:rsid w:val="151712FB"/>
    <w:rsid w:val="151956D7"/>
    <w:rsid w:val="15695D6B"/>
    <w:rsid w:val="157D3E33"/>
    <w:rsid w:val="157D70FB"/>
    <w:rsid w:val="158F45FB"/>
    <w:rsid w:val="15A17AE5"/>
    <w:rsid w:val="15B71E58"/>
    <w:rsid w:val="15DE73A8"/>
    <w:rsid w:val="15F605ED"/>
    <w:rsid w:val="16060ECD"/>
    <w:rsid w:val="16287DA7"/>
    <w:rsid w:val="163435FA"/>
    <w:rsid w:val="164438B2"/>
    <w:rsid w:val="164C0C98"/>
    <w:rsid w:val="1651268A"/>
    <w:rsid w:val="1661458E"/>
    <w:rsid w:val="168B6E6F"/>
    <w:rsid w:val="16916953"/>
    <w:rsid w:val="16A31609"/>
    <w:rsid w:val="16CF4864"/>
    <w:rsid w:val="16D00F57"/>
    <w:rsid w:val="16F33862"/>
    <w:rsid w:val="17503FD8"/>
    <w:rsid w:val="177E0338"/>
    <w:rsid w:val="178667C5"/>
    <w:rsid w:val="17AE18EB"/>
    <w:rsid w:val="17AF5047"/>
    <w:rsid w:val="180E5518"/>
    <w:rsid w:val="1823269A"/>
    <w:rsid w:val="1859108A"/>
    <w:rsid w:val="1863217E"/>
    <w:rsid w:val="188473DD"/>
    <w:rsid w:val="188F42EF"/>
    <w:rsid w:val="18B22FBB"/>
    <w:rsid w:val="18B26C25"/>
    <w:rsid w:val="18E12E3E"/>
    <w:rsid w:val="18E1780B"/>
    <w:rsid w:val="18EE1A5C"/>
    <w:rsid w:val="196A2979"/>
    <w:rsid w:val="1977173B"/>
    <w:rsid w:val="199D3E34"/>
    <w:rsid w:val="19C01ED4"/>
    <w:rsid w:val="19D92B49"/>
    <w:rsid w:val="19E176EA"/>
    <w:rsid w:val="19F40D7B"/>
    <w:rsid w:val="1A192457"/>
    <w:rsid w:val="1A1F2090"/>
    <w:rsid w:val="1A2D3528"/>
    <w:rsid w:val="1A300E42"/>
    <w:rsid w:val="1A6C4810"/>
    <w:rsid w:val="1A794683"/>
    <w:rsid w:val="1A8600D8"/>
    <w:rsid w:val="1A8F5D4F"/>
    <w:rsid w:val="1ADB46AD"/>
    <w:rsid w:val="1AEF27B0"/>
    <w:rsid w:val="1AF0134D"/>
    <w:rsid w:val="1AFE5EEF"/>
    <w:rsid w:val="1B0F2970"/>
    <w:rsid w:val="1B200BF5"/>
    <w:rsid w:val="1B2B550A"/>
    <w:rsid w:val="1B385B14"/>
    <w:rsid w:val="1B3B4863"/>
    <w:rsid w:val="1B3C168C"/>
    <w:rsid w:val="1B402F47"/>
    <w:rsid w:val="1B513843"/>
    <w:rsid w:val="1B56786B"/>
    <w:rsid w:val="1B591B35"/>
    <w:rsid w:val="1B5C2673"/>
    <w:rsid w:val="1B9325B4"/>
    <w:rsid w:val="1B942560"/>
    <w:rsid w:val="1B9514C8"/>
    <w:rsid w:val="1BA07C65"/>
    <w:rsid w:val="1BE55889"/>
    <w:rsid w:val="1BE97C88"/>
    <w:rsid w:val="1BF63D94"/>
    <w:rsid w:val="1BFA170E"/>
    <w:rsid w:val="1BFA1FDE"/>
    <w:rsid w:val="1C0B6E16"/>
    <w:rsid w:val="1C191646"/>
    <w:rsid w:val="1C5B63E0"/>
    <w:rsid w:val="1C8C38F4"/>
    <w:rsid w:val="1CA521A2"/>
    <w:rsid w:val="1CE61165"/>
    <w:rsid w:val="1D263A0D"/>
    <w:rsid w:val="1D387CEF"/>
    <w:rsid w:val="1D4B6839"/>
    <w:rsid w:val="1D4C1A93"/>
    <w:rsid w:val="1D5656B4"/>
    <w:rsid w:val="1D602034"/>
    <w:rsid w:val="1D855566"/>
    <w:rsid w:val="1DAD3C61"/>
    <w:rsid w:val="1DCB1221"/>
    <w:rsid w:val="1DCF3FAC"/>
    <w:rsid w:val="1E062611"/>
    <w:rsid w:val="1E250498"/>
    <w:rsid w:val="1E2B3367"/>
    <w:rsid w:val="1E2C3ED4"/>
    <w:rsid w:val="1E351BE5"/>
    <w:rsid w:val="1E480FA2"/>
    <w:rsid w:val="1E503B11"/>
    <w:rsid w:val="1E7173B7"/>
    <w:rsid w:val="1E7C1642"/>
    <w:rsid w:val="1E8011C3"/>
    <w:rsid w:val="1E9B7806"/>
    <w:rsid w:val="1E9C1F16"/>
    <w:rsid w:val="1EB337C7"/>
    <w:rsid w:val="1EE707C4"/>
    <w:rsid w:val="1EEE1B53"/>
    <w:rsid w:val="1EEF79F2"/>
    <w:rsid w:val="1F225828"/>
    <w:rsid w:val="1F2F77EC"/>
    <w:rsid w:val="1F3F6A66"/>
    <w:rsid w:val="1F5C285E"/>
    <w:rsid w:val="1F61713C"/>
    <w:rsid w:val="1F817369"/>
    <w:rsid w:val="1F89678F"/>
    <w:rsid w:val="1F9D3AF1"/>
    <w:rsid w:val="1FA56B07"/>
    <w:rsid w:val="1FAE7317"/>
    <w:rsid w:val="1FB15E7A"/>
    <w:rsid w:val="1FDE5DCF"/>
    <w:rsid w:val="1FEC7ED4"/>
    <w:rsid w:val="1FF13420"/>
    <w:rsid w:val="20080308"/>
    <w:rsid w:val="20135292"/>
    <w:rsid w:val="20325E6D"/>
    <w:rsid w:val="20333B50"/>
    <w:rsid w:val="20390044"/>
    <w:rsid w:val="20430CF3"/>
    <w:rsid w:val="20585559"/>
    <w:rsid w:val="205E1FFF"/>
    <w:rsid w:val="20737A4D"/>
    <w:rsid w:val="208B05D0"/>
    <w:rsid w:val="20C760D3"/>
    <w:rsid w:val="20CF66E5"/>
    <w:rsid w:val="20D71D28"/>
    <w:rsid w:val="20EB1677"/>
    <w:rsid w:val="21052A98"/>
    <w:rsid w:val="210C31F9"/>
    <w:rsid w:val="210E048F"/>
    <w:rsid w:val="211C00DA"/>
    <w:rsid w:val="212E2F43"/>
    <w:rsid w:val="214F6CB9"/>
    <w:rsid w:val="216C1144"/>
    <w:rsid w:val="2196098D"/>
    <w:rsid w:val="21960FA1"/>
    <w:rsid w:val="21A45EEF"/>
    <w:rsid w:val="21AF26D5"/>
    <w:rsid w:val="21C64735"/>
    <w:rsid w:val="22196ED2"/>
    <w:rsid w:val="22220824"/>
    <w:rsid w:val="22531216"/>
    <w:rsid w:val="226B0B60"/>
    <w:rsid w:val="22AD6DFF"/>
    <w:rsid w:val="22C56E64"/>
    <w:rsid w:val="22DD7712"/>
    <w:rsid w:val="22F91194"/>
    <w:rsid w:val="22FA6DC8"/>
    <w:rsid w:val="23013493"/>
    <w:rsid w:val="23080B2D"/>
    <w:rsid w:val="230911BE"/>
    <w:rsid w:val="23183F51"/>
    <w:rsid w:val="232032A8"/>
    <w:rsid w:val="23386DF6"/>
    <w:rsid w:val="234A4049"/>
    <w:rsid w:val="235A5755"/>
    <w:rsid w:val="23914DE2"/>
    <w:rsid w:val="23AD56A2"/>
    <w:rsid w:val="23AE4A45"/>
    <w:rsid w:val="23D02569"/>
    <w:rsid w:val="23DB7F21"/>
    <w:rsid w:val="23EB095C"/>
    <w:rsid w:val="23EE6C66"/>
    <w:rsid w:val="241B6656"/>
    <w:rsid w:val="243B6514"/>
    <w:rsid w:val="24425C27"/>
    <w:rsid w:val="244676E9"/>
    <w:rsid w:val="244D0E72"/>
    <w:rsid w:val="249412A7"/>
    <w:rsid w:val="249E6301"/>
    <w:rsid w:val="24B52401"/>
    <w:rsid w:val="24D361D3"/>
    <w:rsid w:val="25067C35"/>
    <w:rsid w:val="25191B9B"/>
    <w:rsid w:val="25551AD9"/>
    <w:rsid w:val="255D7AAA"/>
    <w:rsid w:val="25713B06"/>
    <w:rsid w:val="2591310F"/>
    <w:rsid w:val="2593568B"/>
    <w:rsid w:val="25CF7450"/>
    <w:rsid w:val="25E35DCE"/>
    <w:rsid w:val="25F27D64"/>
    <w:rsid w:val="264E5D82"/>
    <w:rsid w:val="265000B5"/>
    <w:rsid w:val="26580B3A"/>
    <w:rsid w:val="26765063"/>
    <w:rsid w:val="26A73EFA"/>
    <w:rsid w:val="26A945BD"/>
    <w:rsid w:val="26D052C7"/>
    <w:rsid w:val="26DC50D5"/>
    <w:rsid w:val="27285EFE"/>
    <w:rsid w:val="27541B5E"/>
    <w:rsid w:val="275E193E"/>
    <w:rsid w:val="27817B11"/>
    <w:rsid w:val="278E30D2"/>
    <w:rsid w:val="278E44E2"/>
    <w:rsid w:val="279851F9"/>
    <w:rsid w:val="279D443C"/>
    <w:rsid w:val="27A536B5"/>
    <w:rsid w:val="27B31C22"/>
    <w:rsid w:val="27B51121"/>
    <w:rsid w:val="27BB1B3C"/>
    <w:rsid w:val="27C35708"/>
    <w:rsid w:val="27CE3790"/>
    <w:rsid w:val="27D602F4"/>
    <w:rsid w:val="27E73EBA"/>
    <w:rsid w:val="27F61EB2"/>
    <w:rsid w:val="27FD6499"/>
    <w:rsid w:val="280A4713"/>
    <w:rsid w:val="281226C2"/>
    <w:rsid w:val="28305E4D"/>
    <w:rsid w:val="28324900"/>
    <w:rsid w:val="28575C56"/>
    <w:rsid w:val="287D031A"/>
    <w:rsid w:val="288F4BD2"/>
    <w:rsid w:val="28A34824"/>
    <w:rsid w:val="28BA44B3"/>
    <w:rsid w:val="28F35ADE"/>
    <w:rsid w:val="29183336"/>
    <w:rsid w:val="29186373"/>
    <w:rsid w:val="293A59B9"/>
    <w:rsid w:val="29447B88"/>
    <w:rsid w:val="294560EA"/>
    <w:rsid w:val="29552F3C"/>
    <w:rsid w:val="29906354"/>
    <w:rsid w:val="29AA5BBC"/>
    <w:rsid w:val="29D43280"/>
    <w:rsid w:val="29E00855"/>
    <w:rsid w:val="29E93F98"/>
    <w:rsid w:val="29EC1017"/>
    <w:rsid w:val="2A1B2B3A"/>
    <w:rsid w:val="2A215B54"/>
    <w:rsid w:val="2A2B5115"/>
    <w:rsid w:val="2A3B2CAD"/>
    <w:rsid w:val="2A400762"/>
    <w:rsid w:val="2A412BE0"/>
    <w:rsid w:val="2A4340B5"/>
    <w:rsid w:val="2A507B7F"/>
    <w:rsid w:val="2A636D8A"/>
    <w:rsid w:val="2A6372B2"/>
    <w:rsid w:val="2A88359B"/>
    <w:rsid w:val="2A8B0785"/>
    <w:rsid w:val="2AAE0CDF"/>
    <w:rsid w:val="2AB91BCD"/>
    <w:rsid w:val="2ACB7249"/>
    <w:rsid w:val="2AD064C1"/>
    <w:rsid w:val="2AD14096"/>
    <w:rsid w:val="2ADB3A93"/>
    <w:rsid w:val="2B487D77"/>
    <w:rsid w:val="2B497FFE"/>
    <w:rsid w:val="2B776979"/>
    <w:rsid w:val="2B8A06CA"/>
    <w:rsid w:val="2BC44365"/>
    <w:rsid w:val="2BD32203"/>
    <w:rsid w:val="2BEE4884"/>
    <w:rsid w:val="2C0146A6"/>
    <w:rsid w:val="2C036D8F"/>
    <w:rsid w:val="2C24376E"/>
    <w:rsid w:val="2C2C1121"/>
    <w:rsid w:val="2C446301"/>
    <w:rsid w:val="2C7249AD"/>
    <w:rsid w:val="2C8612F4"/>
    <w:rsid w:val="2C8C4F56"/>
    <w:rsid w:val="2CCC7DBB"/>
    <w:rsid w:val="2CEF19F1"/>
    <w:rsid w:val="2CFE759B"/>
    <w:rsid w:val="2D0D01B9"/>
    <w:rsid w:val="2D30688C"/>
    <w:rsid w:val="2D3974FF"/>
    <w:rsid w:val="2D4237C8"/>
    <w:rsid w:val="2D573B45"/>
    <w:rsid w:val="2D785411"/>
    <w:rsid w:val="2D886992"/>
    <w:rsid w:val="2D9B3582"/>
    <w:rsid w:val="2D9E202D"/>
    <w:rsid w:val="2DC05E6B"/>
    <w:rsid w:val="2DC37578"/>
    <w:rsid w:val="2DC91117"/>
    <w:rsid w:val="2DFE5329"/>
    <w:rsid w:val="2E1B7CAE"/>
    <w:rsid w:val="2E1D720C"/>
    <w:rsid w:val="2E295F0B"/>
    <w:rsid w:val="2E3E2E38"/>
    <w:rsid w:val="2EA06C99"/>
    <w:rsid w:val="2EA627E6"/>
    <w:rsid w:val="2EAD7B5B"/>
    <w:rsid w:val="2EEB4A21"/>
    <w:rsid w:val="2F066EE5"/>
    <w:rsid w:val="2F1F5293"/>
    <w:rsid w:val="2FA56D2A"/>
    <w:rsid w:val="2FF14488"/>
    <w:rsid w:val="2FFC4761"/>
    <w:rsid w:val="30165C0E"/>
    <w:rsid w:val="30241EC9"/>
    <w:rsid w:val="3024376C"/>
    <w:rsid w:val="3030030F"/>
    <w:rsid w:val="3037589D"/>
    <w:rsid w:val="307D0995"/>
    <w:rsid w:val="309023A0"/>
    <w:rsid w:val="30912E56"/>
    <w:rsid w:val="309322D8"/>
    <w:rsid w:val="30D74F64"/>
    <w:rsid w:val="30E05009"/>
    <w:rsid w:val="30E90D6B"/>
    <w:rsid w:val="30F70465"/>
    <w:rsid w:val="3107648F"/>
    <w:rsid w:val="310F2DE4"/>
    <w:rsid w:val="311B1ADA"/>
    <w:rsid w:val="3136739B"/>
    <w:rsid w:val="31455045"/>
    <w:rsid w:val="3172252B"/>
    <w:rsid w:val="318343D6"/>
    <w:rsid w:val="318D6FE2"/>
    <w:rsid w:val="31D90D24"/>
    <w:rsid w:val="31E17D91"/>
    <w:rsid w:val="31F05435"/>
    <w:rsid w:val="31FE42EE"/>
    <w:rsid w:val="32300089"/>
    <w:rsid w:val="32391D5B"/>
    <w:rsid w:val="32406775"/>
    <w:rsid w:val="32810598"/>
    <w:rsid w:val="328F492B"/>
    <w:rsid w:val="32950938"/>
    <w:rsid w:val="32DB3D98"/>
    <w:rsid w:val="32DD4607"/>
    <w:rsid w:val="32EE3142"/>
    <w:rsid w:val="330742DF"/>
    <w:rsid w:val="33220976"/>
    <w:rsid w:val="33270094"/>
    <w:rsid w:val="3340691B"/>
    <w:rsid w:val="335D538D"/>
    <w:rsid w:val="33A07DDC"/>
    <w:rsid w:val="33BD155C"/>
    <w:rsid w:val="33CA45B2"/>
    <w:rsid w:val="33D41711"/>
    <w:rsid w:val="33DA492B"/>
    <w:rsid w:val="33F039EB"/>
    <w:rsid w:val="341A05D7"/>
    <w:rsid w:val="34267879"/>
    <w:rsid w:val="344518A4"/>
    <w:rsid w:val="345D6D1C"/>
    <w:rsid w:val="348B0A80"/>
    <w:rsid w:val="34B1284F"/>
    <w:rsid w:val="351C7FEC"/>
    <w:rsid w:val="35201655"/>
    <w:rsid w:val="35662C5E"/>
    <w:rsid w:val="356D1DA7"/>
    <w:rsid w:val="35773BEB"/>
    <w:rsid w:val="358015B8"/>
    <w:rsid w:val="358D1A34"/>
    <w:rsid w:val="35A54EBC"/>
    <w:rsid w:val="35B3123D"/>
    <w:rsid w:val="35CC4D65"/>
    <w:rsid w:val="35D9104E"/>
    <w:rsid w:val="360D6237"/>
    <w:rsid w:val="36153CCC"/>
    <w:rsid w:val="362C5922"/>
    <w:rsid w:val="36720FD7"/>
    <w:rsid w:val="37060697"/>
    <w:rsid w:val="37066B84"/>
    <w:rsid w:val="370E4503"/>
    <w:rsid w:val="370F745B"/>
    <w:rsid w:val="37214C86"/>
    <w:rsid w:val="373310C2"/>
    <w:rsid w:val="37741BB9"/>
    <w:rsid w:val="37802CE1"/>
    <w:rsid w:val="379166D6"/>
    <w:rsid w:val="37D340F3"/>
    <w:rsid w:val="37E119F4"/>
    <w:rsid w:val="38054153"/>
    <w:rsid w:val="38327251"/>
    <w:rsid w:val="38450CEE"/>
    <w:rsid w:val="38527F3B"/>
    <w:rsid w:val="3858746E"/>
    <w:rsid w:val="385E023F"/>
    <w:rsid w:val="3869413F"/>
    <w:rsid w:val="38713F8B"/>
    <w:rsid w:val="38797B73"/>
    <w:rsid w:val="387A02C4"/>
    <w:rsid w:val="38997CD6"/>
    <w:rsid w:val="38AB407F"/>
    <w:rsid w:val="38C27300"/>
    <w:rsid w:val="39206CF5"/>
    <w:rsid w:val="39210CD8"/>
    <w:rsid w:val="393552A8"/>
    <w:rsid w:val="39561AF5"/>
    <w:rsid w:val="39826B0E"/>
    <w:rsid w:val="39852A01"/>
    <w:rsid w:val="39C0136A"/>
    <w:rsid w:val="39C26034"/>
    <w:rsid w:val="39DA6899"/>
    <w:rsid w:val="39DB6B1C"/>
    <w:rsid w:val="39E87691"/>
    <w:rsid w:val="39FF50A2"/>
    <w:rsid w:val="3A406204"/>
    <w:rsid w:val="3A4B4BCD"/>
    <w:rsid w:val="3ACF4AC0"/>
    <w:rsid w:val="3AE5350B"/>
    <w:rsid w:val="3AEB7CD3"/>
    <w:rsid w:val="3B023A20"/>
    <w:rsid w:val="3B0A0558"/>
    <w:rsid w:val="3B157A45"/>
    <w:rsid w:val="3B7F4EB3"/>
    <w:rsid w:val="3B7F7654"/>
    <w:rsid w:val="3BA030D1"/>
    <w:rsid w:val="3BA72B62"/>
    <w:rsid w:val="3BDC0E7D"/>
    <w:rsid w:val="3BFE2404"/>
    <w:rsid w:val="3BFF0CB0"/>
    <w:rsid w:val="3C211118"/>
    <w:rsid w:val="3C2807D0"/>
    <w:rsid w:val="3C2A2548"/>
    <w:rsid w:val="3C540ADC"/>
    <w:rsid w:val="3C571BD9"/>
    <w:rsid w:val="3C9A7FA4"/>
    <w:rsid w:val="3CBD6CDC"/>
    <w:rsid w:val="3CCE1000"/>
    <w:rsid w:val="3CE76CC9"/>
    <w:rsid w:val="3D8F295E"/>
    <w:rsid w:val="3DAA70B4"/>
    <w:rsid w:val="3DC42B84"/>
    <w:rsid w:val="3DC54182"/>
    <w:rsid w:val="3DD61DEE"/>
    <w:rsid w:val="3E0A44D6"/>
    <w:rsid w:val="3E117059"/>
    <w:rsid w:val="3E2E3EFE"/>
    <w:rsid w:val="3E400232"/>
    <w:rsid w:val="3E5217CE"/>
    <w:rsid w:val="3E55439B"/>
    <w:rsid w:val="3E5D7B73"/>
    <w:rsid w:val="3E753BDD"/>
    <w:rsid w:val="3E83475F"/>
    <w:rsid w:val="3E8A21CD"/>
    <w:rsid w:val="3ED510C3"/>
    <w:rsid w:val="3EE2396F"/>
    <w:rsid w:val="3F002DC4"/>
    <w:rsid w:val="3F04184A"/>
    <w:rsid w:val="3F2B50C3"/>
    <w:rsid w:val="3F591801"/>
    <w:rsid w:val="3F603039"/>
    <w:rsid w:val="3F851448"/>
    <w:rsid w:val="3F883EA8"/>
    <w:rsid w:val="3F983A96"/>
    <w:rsid w:val="3F9D290A"/>
    <w:rsid w:val="3FC94DAE"/>
    <w:rsid w:val="3FD0175F"/>
    <w:rsid w:val="40447412"/>
    <w:rsid w:val="404D5F28"/>
    <w:rsid w:val="4061258C"/>
    <w:rsid w:val="40DF69BA"/>
    <w:rsid w:val="40E936B5"/>
    <w:rsid w:val="40EB1A22"/>
    <w:rsid w:val="40FC0BC1"/>
    <w:rsid w:val="41832CF0"/>
    <w:rsid w:val="418806CE"/>
    <w:rsid w:val="41A25B15"/>
    <w:rsid w:val="41C17126"/>
    <w:rsid w:val="41CC5774"/>
    <w:rsid w:val="41EF5256"/>
    <w:rsid w:val="42106992"/>
    <w:rsid w:val="422701E2"/>
    <w:rsid w:val="423B49C0"/>
    <w:rsid w:val="4240558B"/>
    <w:rsid w:val="424459BE"/>
    <w:rsid w:val="4266698B"/>
    <w:rsid w:val="42C0270A"/>
    <w:rsid w:val="42C32F04"/>
    <w:rsid w:val="42CE269B"/>
    <w:rsid w:val="42CE3D44"/>
    <w:rsid w:val="42D97D10"/>
    <w:rsid w:val="43067854"/>
    <w:rsid w:val="4316687B"/>
    <w:rsid w:val="431D4E57"/>
    <w:rsid w:val="433962C3"/>
    <w:rsid w:val="438565B7"/>
    <w:rsid w:val="43A60539"/>
    <w:rsid w:val="43AF63DA"/>
    <w:rsid w:val="43B7669E"/>
    <w:rsid w:val="43E16DE1"/>
    <w:rsid w:val="44165300"/>
    <w:rsid w:val="449120EE"/>
    <w:rsid w:val="449E0B97"/>
    <w:rsid w:val="449E3D4C"/>
    <w:rsid w:val="44A011A4"/>
    <w:rsid w:val="44A9274E"/>
    <w:rsid w:val="44B832BC"/>
    <w:rsid w:val="44C50EF9"/>
    <w:rsid w:val="44D8278D"/>
    <w:rsid w:val="4502777A"/>
    <w:rsid w:val="4513242A"/>
    <w:rsid w:val="451F4617"/>
    <w:rsid w:val="455D5FFB"/>
    <w:rsid w:val="457C24A3"/>
    <w:rsid w:val="457E6889"/>
    <w:rsid w:val="45884C0B"/>
    <w:rsid w:val="4594147E"/>
    <w:rsid w:val="459B6C7A"/>
    <w:rsid w:val="45A67B36"/>
    <w:rsid w:val="45EA23BC"/>
    <w:rsid w:val="46127374"/>
    <w:rsid w:val="46223761"/>
    <w:rsid w:val="46532F24"/>
    <w:rsid w:val="46555461"/>
    <w:rsid w:val="466B2730"/>
    <w:rsid w:val="46B80144"/>
    <w:rsid w:val="46D539E4"/>
    <w:rsid w:val="46FF1440"/>
    <w:rsid w:val="470E4883"/>
    <w:rsid w:val="47491F7F"/>
    <w:rsid w:val="47BD5529"/>
    <w:rsid w:val="47D86D86"/>
    <w:rsid w:val="47FD2DD3"/>
    <w:rsid w:val="481B167A"/>
    <w:rsid w:val="48524D0C"/>
    <w:rsid w:val="487863B9"/>
    <w:rsid w:val="488212E7"/>
    <w:rsid w:val="48B5374B"/>
    <w:rsid w:val="48B678DB"/>
    <w:rsid w:val="48F4378A"/>
    <w:rsid w:val="49077AC4"/>
    <w:rsid w:val="490F1BD7"/>
    <w:rsid w:val="492036C1"/>
    <w:rsid w:val="49300C06"/>
    <w:rsid w:val="496D5F4B"/>
    <w:rsid w:val="497B1398"/>
    <w:rsid w:val="49895BBE"/>
    <w:rsid w:val="49CD2162"/>
    <w:rsid w:val="49D10105"/>
    <w:rsid w:val="49DD3E30"/>
    <w:rsid w:val="49E5642C"/>
    <w:rsid w:val="49FC77DC"/>
    <w:rsid w:val="49FF7F9F"/>
    <w:rsid w:val="4A0C701A"/>
    <w:rsid w:val="4A0F0D37"/>
    <w:rsid w:val="4A572D6E"/>
    <w:rsid w:val="4A6552FF"/>
    <w:rsid w:val="4A6961DA"/>
    <w:rsid w:val="4A6E7973"/>
    <w:rsid w:val="4A7125D0"/>
    <w:rsid w:val="4A760661"/>
    <w:rsid w:val="4A8E47B2"/>
    <w:rsid w:val="4ABA5291"/>
    <w:rsid w:val="4ABA764D"/>
    <w:rsid w:val="4AD72F3E"/>
    <w:rsid w:val="4AD752A6"/>
    <w:rsid w:val="4AF518A8"/>
    <w:rsid w:val="4B0575F4"/>
    <w:rsid w:val="4B321980"/>
    <w:rsid w:val="4B4F5D0B"/>
    <w:rsid w:val="4B506768"/>
    <w:rsid w:val="4B56000B"/>
    <w:rsid w:val="4B6E05F7"/>
    <w:rsid w:val="4B6E3443"/>
    <w:rsid w:val="4B811CCE"/>
    <w:rsid w:val="4B8617C0"/>
    <w:rsid w:val="4B8B617B"/>
    <w:rsid w:val="4B8E4F07"/>
    <w:rsid w:val="4BAA3B0D"/>
    <w:rsid w:val="4BD47CA1"/>
    <w:rsid w:val="4BD76447"/>
    <w:rsid w:val="4BD934CA"/>
    <w:rsid w:val="4BFA6103"/>
    <w:rsid w:val="4C0F0945"/>
    <w:rsid w:val="4C55587E"/>
    <w:rsid w:val="4C7E699F"/>
    <w:rsid w:val="4C9E6B83"/>
    <w:rsid w:val="4CBD5412"/>
    <w:rsid w:val="4CBF62EA"/>
    <w:rsid w:val="4CC95F94"/>
    <w:rsid w:val="4CDE1B69"/>
    <w:rsid w:val="4CE93F59"/>
    <w:rsid w:val="4D2227C3"/>
    <w:rsid w:val="4D2A42C8"/>
    <w:rsid w:val="4D375C10"/>
    <w:rsid w:val="4D4919B0"/>
    <w:rsid w:val="4D5B26B9"/>
    <w:rsid w:val="4D7A7671"/>
    <w:rsid w:val="4D8B14A4"/>
    <w:rsid w:val="4E2157BD"/>
    <w:rsid w:val="4E234749"/>
    <w:rsid w:val="4E2668F6"/>
    <w:rsid w:val="4E270305"/>
    <w:rsid w:val="4E507DFB"/>
    <w:rsid w:val="4E53367A"/>
    <w:rsid w:val="4E657D3E"/>
    <w:rsid w:val="4F150477"/>
    <w:rsid w:val="4F241BC5"/>
    <w:rsid w:val="4F2E63DB"/>
    <w:rsid w:val="4F3D175A"/>
    <w:rsid w:val="4F606BDC"/>
    <w:rsid w:val="4FC226EE"/>
    <w:rsid w:val="4FCA438C"/>
    <w:rsid w:val="4FE46058"/>
    <w:rsid w:val="4FED3DD7"/>
    <w:rsid w:val="50183DA0"/>
    <w:rsid w:val="50221477"/>
    <w:rsid w:val="5036401E"/>
    <w:rsid w:val="50613466"/>
    <w:rsid w:val="507A6F24"/>
    <w:rsid w:val="50880413"/>
    <w:rsid w:val="50C2564E"/>
    <w:rsid w:val="50E767CF"/>
    <w:rsid w:val="50FE67AF"/>
    <w:rsid w:val="51031615"/>
    <w:rsid w:val="5109047A"/>
    <w:rsid w:val="51396B3C"/>
    <w:rsid w:val="5163034C"/>
    <w:rsid w:val="51682191"/>
    <w:rsid w:val="518B418E"/>
    <w:rsid w:val="51947107"/>
    <w:rsid w:val="51BF0933"/>
    <w:rsid w:val="51E920B2"/>
    <w:rsid w:val="51F2649B"/>
    <w:rsid w:val="52007C57"/>
    <w:rsid w:val="52196005"/>
    <w:rsid w:val="521F46C7"/>
    <w:rsid w:val="525E0567"/>
    <w:rsid w:val="52740551"/>
    <w:rsid w:val="52C27332"/>
    <w:rsid w:val="52EC0A5B"/>
    <w:rsid w:val="52F948B7"/>
    <w:rsid w:val="533E3E78"/>
    <w:rsid w:val="534B133D"/>
    <w:rsid w:val="538D1ACB"/>
    <w:rsid w:val="53AC3555"/>
    <w:rsid w:val="53C721E4"/>
    <w:rsid w:val="53D27D76"/>
    <w:rsid w:val="53E15864"/>
    <w:rsid w:val="541043A4"/>
    <w:rsid w:val="54B76273"/>
    <w:rsid w:val="54CB18F6"/>
    <w:rsid w:val="54DC7E99"/>
    <w:rsid w:val="54E076C6"/>
    <w:rsid w:val="54EC6E8B"/>
    <w:rsid w:val="54F310A5"/>
    <w:rsid w:val="54FC25FF"/>
    <w:rsid w:val="55004C52"/>
    <w:rsid w:val="551A781D"/>
    <w:rsid w:val="55343888"/>
    <w:rsid w:val="554C61AD"/>
    <w:rsid w:val="55556297"/>
    <w:rsid w:val="555E7723"/>
    <w:rsid w:val="55936113"/>
    <w:rsid w:val="55A8247A"/>
    <w:rsid w:val="55BC55D7"/>
    <w:rsid w:val="55D019A0"/>
    <w:rsid w:val="55E11C10"/>
    <w:rsid w:val="55F15C91"/>
    <w:rsid w:val="56075F3C"/>
    <w:rsid w:val="56102454"/>
    <w:rsid w:val="56145AB7"/>
    <w:rsid w:val="562553C5"/>
    <w:rsid w:val="56266EC8"/>
    <w:rsid w:val="562B04A9"/>
    <w:rsid w:val="564E4DCF"/>
    <w:rsid w:val="567636E3"/>
    <w:rsid w:val="56C70FA1"/>
    <w:rsid w:val="56CD0749"/>
    <w:rsid w:val="56E03E3A"/>
    <w:rsid w:val="56E33423"/>
    <w:rsid w:val="56E7733D"/>
    <w:rsid w:val="56F1577D"/>
    <w:rsid w:val="571565F4"/>
    <w:rsid w:val="571B1DC2"/>
    <w:rsid w:val="571D7D2F"/>
    <w:rsid w:val="572C5A11"/>
    <w:rsid w:val="574213D7"/>
    <w:rsid w:val="57A55C9F"/>
    <w:rsid w:val="57A561A5"/>
    <w:rsid w:val="57B40DF6"/>
    <w:rsid w:val="5813415A"/>
    <w:rsid w:val="583716F6"/>
    <w:rsid w:val="584D2F1E"/>
    <w:rsid w:val="58553D68"/>
    <w:rsid w:val="585B0056"/>
    <w:rsid w:val="585B674D"/>
    <w:rsid w:val="585C1F55"/>
    <w:rsid w:val="58683766"/>
    <w:rsid w:val="5873611F"/>
    <w:rsid w:val="588A4B7D"/>
    <w:rsid w:val="58961971"/>
    <w:rsid w:val="58CC6994"/>
    <w:rsid w:val="58CE6A7C"/>
    <w:rsid w:val="58DF52C2"/>
    <w:rsid w:val="58FC3C67"/>
    <w:rsid w:val="590C2990"/>
    <w:rsid w:val="592378D1"/>
    <w:rsid w:val="59751305"/>
    <w:rsid w:val="597D1376"/>
    <w:rsid w:val="597D3F33"/>
    <w:rsid w:val="59896AC3"/>
    <w:rsid w:val="59C60D89"/>
    <w:rsid w:val="59D3755A"/>
    <w:rsid w:val="59F93418"/>
    <w:rsid w:val="5A1F1273"/>
    <w:rsid w:val="5A4022A1"/>
    <w:rsid w:val="5A403B69"/>
    <w:rsid w:val="5A444634"/>
    <w:rsid w:val="5A461468"/>
    <w:rsid w:val="5A550D03"/>
    <w:rsid w:val="5A813B89"/>
    <w:rsid w:val="5A8D0BAA"/>
    <w:rsid w:val="5A8E4D39"/>
    <w:rsid w:val="5AA37074"/>
    <w:rsid w:val="5ABD5C0F"/>
    <w:rsid w:val="5AE2065A"/>
    <w:rsid w:val="5AEA690A"/>
    <w:rsid w:val="5AF36092"/>
    <w:rsid w:val="5B01074F"/>
    <w:rsid w:val="5B025FA0"/>
    <w:rsid w:val="5B262E07"/>
    <w:rsid w:val="5B333813"/>
    <w:rsid w:val="5B5A4D58"/>
    <w:rsid w:val="5B5A6C28"/>
    <w:rsid w:val="5B5F703A"/>
    <w:rsid w:val="5B6C1B96"/>
    <w:rsid w:val="5B805F34"/>
    <w:rsid w:val="5B8C6711"/>
    <w:rsid w:val="5BA06A0B"/>
    <w:rsid w:val="5BBC5B8A"/>
    <w:rsid w:val="5BF00AB7"/>
    <w:rsid w:val="5C05131C"/>
    <w:rsid w:val="5C0A1EEA"/>
    <w:rsid w:val="5C116F03"/>
    <w:rsid w:val="5C1E5B95"/>
    <w:rsid w:val="5C3249A3"/>
    <w:rsid w:val="5C673BD2"/>
    <w:rsid w:val="5C6A2100"/>
    <w:rsid w:val="5C7B7CD3"/>
    <w:rsid w:val="5CA27078"/>
    <w:rsid w:val="5CA63279"/>
    <w:rsid w:val="5CEA19DD"/>
    <w:rsid w:val="5D1E6B21"/>
    <w:rsid w:val="5D2248F9"/>
    <w:rsid w:val="5D256B04"/>
    <w:rsid w:val="5D2755BD"/>
    <w:rsid w:val="5D3775A9"/>
    <w:rsid w:val="5D417EE5"/>
    <w:rsid w:val="5D69192D"/>
    <w:rsid w:val="5D7010E4"/>
    <w:rsid w:val="5D954487"/>
    <w:rsid w:val="5DA63DDE"/>
    <w:rsid w:val="5DB50FC8"/>
    <w:rsid w:val="5DD43206"/>
    <w:rsid w:val="5DE73F32"/>
    <w:rsid w:val="5DFA28B9"/>
    <w:rsid w:val="5E1547AB"/>
    <w:rsid w:val="5E1668E5"/>
    <w:rsid w:val="5E1C73D5"/>
    <w:rsid w:val="5E1E6F45"/>
    <w:rsid w:val="5E385D9A"/>
    <w:rsid w:val="5E455495"/>
    <w:rsid w:val="5E4E2CEB"/>
    <w:rsid w:val="5E6C1E1A"/>
    <w:rsid w:val="5E6D63B5"/>
    <w:rsid w:val="5E736312"/>
    <w:rsid w:val="5EB20809"/>
    <w:rsid w:val="5EEA439F"/>
    <w:rsid w:val="5F006C0B"/>
    <w:rsid w:val="5F3A1A61"/>
    <w:rsid w:val="5F5B109E"/>
    <w:rsid w:val="5F630CE1"/>
    <w:rsid w:val="5F9C73F6"/>
    <w:rsid w:val="5FA351C9"/>
    <w:rsid w:val="5FAB0B0A"/>
    <w:rsid w:val="5FEC3FB8"/>
    <w:rsid w:val="6005063F"/>
    <w:rsid w:val="601179FE"/>
    <w:rsid w:val="601678B0"/>
    <w:rsid w:val="6039143D"/>
    <w:rsid w:val="606F1135"/>
    <w:rsid w:val="60715EBD"/>
    <w:rsid w:val="60873C28"/>
    <w:rsid w:val="609A63CB"/>
    <w:rsid w:val="60A5215B"/>
    <w:rsid w:val="60A92ECB"/>
    <w:rsid w:val="60AA140F"/>
    <w:rsid w:val="60AC17CE"/>
    <w:rsid w:val="60B67FA2"/>
    <w:rsid w:val="60E5683B"/>
    <w:rsid w:val="60E808E9"/>
    <w:rsid w:val="60F3230D"/>
    <w:rsid w:val="61024B20"/>
    <w:rsid w:val="61352834"/>
    <w:rsid w:val="61364095"/>
    <w:rsid w:val="617659DA"/>
    <w:rsid w:val="619808D4"/>
    <w:rsid w:val="61B07EFE"/>
    <w:rsid w:val="622F028C"/>
    <w:rsid w:val="623842DC"/>
    <w:rsid w:val="625C7610"/>
    <w:rsid w:val="62645117"/>
    <w:rsid w:val="62707027"/>
    <w:rsid w:val="62B115B7"/>
    <w:rsid w:val="62CA5F6E"/>
    <w:rsid w:val="62CD6DA3"/>
    <w:rsid w:val="62CE3FB1"/>
    <w:rsid w:val="62CF705B"/>
    <w:rsid w:val="62DE1054"/>
    <w:rsid w:val="62F10AA7"/>
    <w:rsid w:val="630941EF"/>
    <w:rsid w:val="63210187"/>
    <w:rsid w:val="63543547"/>
    <w:rsid w:val="637568D8"/>
    <w:rsid w:val="63900551"/>
    <w:rsid w:val="63957DBF"/>
    <w:rsid w:val="63F72345"/>
    <w:rsid w:val="64100281"/>
    <w:rsid w:val="64311BE4"/>
    <w:rsid w:val="643D72EC"/>
    <w:rsid w:val="64606968"/>
    <w:rsid w:val="64B55ABA"/>
    <w:rsid w:val="64F1139E"/>
    <w:rsid w:val="64F9272E"/>
    <w:rsid w:val="65095C98"/>
    <w:rsid w:val="65134450"/>
    <w:rsid w:val="652C7F48"/>
    <w:rsid w:val="652F2ADF"/>
    <w:rsid w:val="65301C13"/>
    <w:rsid w:val="653662AC"/>
    <w:rsid w:val="6544136A"/>
    <w:rsid w:val="6549589D"/>
    <w:rsid w:val="654E302D"/>
    <w:rsid w:val="65565BC7"/>
    <w:rsid w:val="65576E03"/>
    <w:rsid w:val="659A0911"/>
    <w:rsid w:val="65AC3F55"/>
    <w:rsid w:val="65B20101"/>
    <w:rsid w:val="65F05214"/>
    <w:rsid w:val="65F11B2B"/>
    <w:rsid w:val="65FA7278"/>
    <w:rsid w:val="667E1A47"/>
    <w:rsid w:val="668705FD"/>
    <w:rsid w:val="66B14FA7"/>
    <w:rsid w:val="6707522F"/>
    <w:rsid w:val="670B064E"/>
    <w:rsid w:val="672A51EB"/>
    <w:rsid w:val="6734168B"/>
    <w:rsid w:val="673827F8"/>
    <w:rsid w:val="673B7773"/>
    <w:rsid w:val="67454FBA"/>
    <w:rsid w:val="6784302A"/>
    <w:rsid w:val="67B643BB"/>
    <w:rsid w:val="67D7676F"/>
    <w:rsid w:val="67F44632"/>
    <w:rsid w:val="680E3B52"/>
    <w:rsid w:val="682A23B3"/>
    <w:rsid w:val="68335D31"/>
    <w:rsid w:val="683D78DF"/>
    <w:rsid w:val="68436403"/>
    <w:rsid w:val="684D00DD"/>
    <w:rsid w:val="68694169"/>
    <w:rsid w:val="68756C54"/>
    <w:rsid w:val="68DF76B2"/>
    <w:rsid w:val="68E5081B"/>
    <w:rsid w:val="68FF42A9"/>
    <w:rsid w:val="6935516E"/>
    <w:rsid w:val="69644C5A"/>
    <w:rsid w:val="69747FEF"/>
    <w:rsid w:val="6987458B"/>
    <w:rsid w:val="698839E2"/>
    <w:rsid w:val="699E3D20"/>
    <w:rsid w:val="699E6A4E"/>
    <w:rsid w:val="699F0F2C"/>
    <w:rsid w:val="69A52F73"/>
    <w:rsid w:val="69A94D9B"/>
    <w:rsid w:val="69AA0CBB"/>
    <w:rsid w:val="69AC7304"/>
    <w:rsid w:val="69C069D9"/>
    <w:rsid w:val="69CD5479"/>
    <w:rsid w:val="6A087133"/>
    <w:rsid w:val="6A0E088E"/>
    <w:rsid w:val="6A40641A"/>
    <w:rsid w:val="6A5F3571"/>
    <w:rsid w:val="6A5F7F3A"/>
    <w:rsid w:val="6A615111"/>
    <w:rsid w:val="6AA70D7A"/>
    <w:rsid w:val="6ABC7014"/>
    <w:rsid w:val="6B3E60E3"/>
    <w:rsid w:val="6B3F0BC2"/>
    <w:rsid w:val="6B472A18"/>
    <w:rsid w:val="6B4D604C"/>
    <w:rsid w:val="6B4E2772"/>
    <w:rsid w:val="6B675BB6"/>
    <w:rsid w:val="6B7E7F0E"/>
    <w:rsid w:val="6B982EA7"/>
    <w:rsid w:val="6BE41799"/>
    <w:rsid w:val="6BE93557"/>
    <w:rsid w:val="6BEA4BE8"/>
    <w:rsid w:val="6C040922"/>
    <w:rsid w:val="6C052C41"/>
    <w:rsid w:val="6C0D280C"/>
    <w:rsid w:val="6C0E0839"/>
    <w:rsid w:val="6C0E23B3"/>
    <w:rsid w:val="6C126299"/>
    <w:rsid w:val="6C135E24"/>
    <w:rsid w:val="6C1E1031"/>
    <w:rsid w:val="6C6D5C22"/>
    <w:rsid w:val="6C8809D0"/>
    <w:rsid w:val="6C896BD6"/>
    <w:rsid w:val="6CAA56C0"/>
    <w:rsid w:val="6CBA0E0B"/>
    <w:rsid w:val="6CD62D60"/>
    <w:rsid w:val="6CE22A24"/>
    <w:rsid w:val="6D0B1AA9"/>
    <w:rsid w:val="6D1762E6"/>
    <w:rsid w:val="6D1C6476"/>
    <w:rsid w:val="6D2D607F"/>
    <w:rsid w:val="6D4E3EEF"/>
    <w:rsid w:val="6D5A560A"/>
    <w:rsid w:val="6D794F5A"/>
    <w:rsid w:val="6DDD0EB6"/>
    <w:rsid w:val="6E2A14A6"/>
    <w:rsid w:val="6E4C6CF2"/>
    <w:rsid w:val="6E635232"/>
    <w:rsid w:val="6E6538E3"/>
    <w:rsid w:val="6E653F40"/>
    <w:rsid w:val="6E6B61EE"/>
    <w:rsid w:val="6E7455D9"/>
    <w:rsid w:val="6E761462"/>
    <w:rsid w:val="6E9D18C8"/>
    <w:rsid w:val="6EC063FF"/>
    <w:rsid w:val="6ED574CE"/>
    <w:rsid w:val="6EED5738"/>
    <w:rsid w:val="6EF11D77"/>
    <w:rsid w:val="6EF72E72"/>
    <w:rsid w:val="6F08066E"/>
    <w:rsid w:val="6F432922"/>
    <w:rsid w:val="6F4C202C"/>
    <w:rsid w:val="6F514E41"/>
    <w:rsid w:val="6F8B2633"/>
    <w:rsid w:val="6F9558A7"/>
    <w:rsid w:val="6FA43244"/>
    <w:rsid w:val="6FB053F8"/>
    <w:rsid w:val="6FE3618E"/>
    <w:rsid w:val="6FE72161"/>
    <w:rsid w:val="6FF276B3"/>
    <w:rsid w:val="6FF66729"/>
    <w:rsid w:val="6FFE79D0"/>
    <w:rsid w:val="701F7E27"/>
    <w:rsid w:val="7025787B"/>
    <w:rsid w:val="702C2E94"/>
    <w:rsid w:val="70311228"/>
    <w:rsid w:val="70390F7D"/>
    <w:rsid w:val="7081192D"/>
    <w:rsid w:val="7098209A"/>
    <w:rsid w:val="70A6503F"/>
    <w:rsid w:val="70AE06DD"/>
    <w:rsid w:val="70C22E93"/>
    <w:rsid w:val="70CA5564"/>
    <w:rsid w:val="70EA6BBD"/>
    <w:rsid w:val="70F5691F"/>
    <w:rsid w:val="71053A62"/>
    <w:rsid w:val="710C06A2"/>
    <w:rsid w:val="710E4B9E"/>
    <w:rsid w:val="71214DA3"/>
    <w:rsid w:val="712764B8"/>
    <w:rsid w:val="71294C63"/>
    <w:rsid w:val="71302066"/>
    <w:rsid w:val="714D5798"/>
    <w:rsid w:val="7163221C"/>
    <w:rsid w:val="7164693A"/>
    <w:rsid w:val="71764119"/>
    <w:rsid w:val="717C1CDD"/>
    <w:rsid w:val="717E2674"/>
    <w:rsid w:val="71A9586F"/>
    <w:rsid w:val="71BA19B4"/>
    <w:rsid w:val="71EA68CC"/>
    <w:rsid w:val="71F257AD"/>
    <w:rsid w:val="71FE3800"/>
    <w:rsid w:val="71FE3858"/>
    <w:rsid w:val="72091181"/>
    <w:rsid w:val="72441629"/>
    <w:rsid w:val="724972A2"/>
    <w:rsid w:val="72594E72"/>
    <w:rsid w:val="72613FC7"/>
    <w:rsid w:val="72662936"/>
    <w:rsid w:val="72665B1C"/>
    <w:rsid w:val="72BB79A6"/>
    <w:rsid w:val="72D105A6"/>
    <w:rsid w:val="72D406B5"/>
    <w:rsid w:val="730E59CF"/>
    <w:rsid w:val="73293BCE"/>
    <w:rsid w:val="732958B2"/>
    <w:rsid w:val="732B0626"/>
    <w:rsid w:val="733C0A4C"/>
    <w:rsid w:val="734756FA"/>
    <w:rsid w:val="73512899"/>
    <w:rsid w:val="73705DD6"/>
    <w:rsid w:val="737E3600"/>
    <w:rsid w:val="73845875"/>
    <w:rsid w:val="73903615"/>
    <w:rsid w:val="73A5589C"/>
    <w:rsid w:val="73C66A0B"/>
    <w:rsid w:val="73F30E80"/>
    <w:rsid w:val="73F44D4C"/>
    <w:rsid w:val="73F94EB9"/>
    <w:rsid w:val="73FE1B3E"/>
    <w:rsid w:val="743C2DF9"/>
    <w:rsid w:val="744D6986"/>
    <w:rsid w:val="74656A36"/>
    <w:rsid w:val="74A2358B"/>
    <w:rsid w:val="74A5102B"/>
    <w:rsid w:val="74AB3106"/>
    <w:rsid w:val="74CD6029"/>
    <w:rsid w:val="74D62EF5"/>
    <w:rsid w:val="753546A4"/>
    <w:rsid w:val="75373EB2"/>
    <w:rsid w:val="755719E9"/>
    <w:rsid w:val="7571759A"/>
    <w:rsid w:val="758168E0"/>
    <w:rsid w:val="759E7675"/>
    <w:rsid w:val="75B368C9"/>
    <w:rsid w:val="75B50FBF"/>
    <w:rsid w:val="75B82369"/>
    <w:rsid w:val="75D24BDB"/>
    <w:rsid w:val="75D33ABC"/>
    <w:rsid w:val="75D902C3"/>
    <w:rsid w:val="75DC6CD0"/>
    <w:rsid w:val="7613066D"/>
    <w:rsid w:val="7615137F"/>
    <w:rsid w:val="76165737"/>
    <w:rsid w:val="764E108B"/>
    <w:rsid w:val="767C5782"/>
    <w:rsid w:val="768B7285"/>
    <w:rsid w:val="7697598C"/>
    <w:rsid w:val="769F0150"/>
    <w:rsid w:val="76E160E1"/>
    <w:rsid w:val="76EA0852"/>
    <w:rsid w:val="76F91713"/>
    <w:rsid w:val="770116B3"/>
    <w:rsid w:val="770E1B98"/>
    <w:rsid w:val="77112A3A"/>
    <w:rsid w:val="771C1557"/>
    <w:rsid w:val="77272FB4"/>
    <w:rsid w:val="7751296B"/>
    <w:rsid w:val="775821F9"/>
    <w:rsid w:val="77641C91"/>
    <w:rsid w:val="776C2249"/>
    <w:rsid w:val="77773B6B"/>
    <w:rsid w:val="777B346D"/>
    <w:rsid w:val="77986A34"/>
    <w:rsid w:val="77B225FA"/>
    <w:rsid w:val="77BF7A9D"/>
    <w:rsid w:val="77D40265"/>
    <w:rsid w:val="77E41566"/>
    <w:rsid w:val="77E86023"/>
    <w:rsid w:val="77EF4630"/>
    <w:rsid w:val="78025F51"/>
    <w:rsid w:val="7804341A"/>
    <w:rsid w:val="78072740"/>
    <w:rsid w:val="78474167"/>
    <w:rsid w:val="785379BB"/>
    <w:rsid w:val="785618E3"/>
    <w:rsid w:val="7886747A"/>
    <w:rsid w:val="788C21D2"/>
    <w:rsid w:val="78B15FBA"/>
    <w:rsid w:val="78CB07C0"/>
    <w:rsid w:val="78D5010B"/>
    <w:rsid w:val="78E61181"/>
    <w:rsid w:val="78F95C34"/>
    <w:rsid w:val="79103D5C"/>
    <w:rsid w:val="79192B6E"/>
    <w:rsid w:val="791A0996"/>
    <w:rsid w:val="791C5E34"/>
    <w:rsid w:val="79210FE8"/>
    <w:rsid w:val="79325E70"/>
    <w:rsid w:val="79747CA8"/>
    <w:rsid w:val="79884C21"/>
    <w:rsid w:val="798E0359"/>
    <w:rsid w:val="79D556EF"/>
    <w:rsid w:val="79E147B0"/>
    <w:rsid w:val="79EE720A"/>
    <w:rsid w:val="79F67E17"/>
    <w:rsid w:val="7A247BE4"/>
    <w:rsid w:val="7A2501F1"/>
    <w:rsid w:val="7A342E34"/>
    <w:rsid w:val="7A541F15"/>
    <w:rsid w:val="7A546DF7"/>
    <w:rsid w:val="7A627951"/>
    <w:rsid w:val="7A76020A"/>
    <w:rsid w:val="7AC2142A"/>
    <w:rsid w:val="7AC6155E"/>
    <w:rsid w:val="7AD061B0"/>
    <w:rsid w:val="7AE65586"/>
    <w:rsid w:val="7AF14645"/>
    <w:rsid w:val="7B3D5690"/>
    <w:rsid w:val="7B6419EB"/>
    <w:rsid w:val="7B6B319F"/>
    <w:rsid w:val="7B8D10F5"/>
    <w:rsid w:val="7BA4652D"/>
    <w:rsid w:val="7BD4329B"/>
    <w:rsid w:val="7BD657AC"/>
    <w:rsid w:val="7C13478C"/>
    <w:rsid w:val="7C20180C"/>
    <w:rsid w:val="7C4512B2"/>
    <w:rsid w:val="7C851E1F"/>
    <w:rsid w:val="7CCF796A"/>
    <w:rsid w:val="7CD71C83"/>
    <w:rsid w:val="7CE12B7A"/>
    <w:rsid w:val="7CFD2DD0"/>
    <w:rsid w:val="7D082E04"/>
    <w:rsid w:val="7D5B4488"/>
    <w:rsid w:val="7D5C3053"/>
    <w:rsid w:val="7D747D48"/>
    <w:rsid w:val="7D7E09E2"/>
    <w:rsid w:val="7DB8732B"/>
    <w:rsid w:val="7DB92C8E"/>
    <w:rsid w:val="7DF95286"/>
    <w:rsid w:val="7E147020"/>
    <w:rsid w:val="7E9F2C05"/>
    <w:rsid w:val="7ECC11DD"/>
    <w:rsid w:val="7ED55D7F"/>
    <w:rsid w:val="7ED86A75"/>
    <w:rsid w:val="7EEE5701"/>
    <w:rsid w:val="7EF23C33"/>
    <w:rsid w:val="7F301CA9"/>
    <w:rsid w:val="7F315D48"/>
    <w:rsid w:val="7F596289"/>
    <w:rsid w:val="7F626BD2"/>
    <w:rsid w:val="7F813019"/>
    <w:rsid w:val="7F99243D"/>
    <w:rsid w:val="7FB247BA"/>
    <w:rsid w:val="7FB956AE"/>
    <w:rsid w:val="7FC9597A"/>
    <w:rsid w:val="7FD84171"/>
    <w:rsid w:val="7FEF3FCC"/>
    <w:rsid w:val="7FF72FB7"/>
    <w:rsid w:val="7FFE0F3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4"/>
    <w:next w:val="1"/>
    <w:link w:val="32"/>
    <w:qFormat/>
    <w:uiPriority w:val="0"/>
    <w:pPr>
      <w:spacing w:afterLines="50" w:line="640" w:lineRule="exact"/>
      <w:outlineLvl w:val="0"/>
    </w:pPr>
    <w:rPr>
      <w:rFonts w:ascii="方正小标宋简体" w:hAnsi="Times New Roman" w:eastAsia="方正小标宋简体" w:cs="Times New Roman"/>
      <w:sz w:val="44"/>
      <w:szCs w:val="36"/>
    </w:rPr>
  </w:style>
  <w:style w:type="paragraph" w:styleId="6">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7">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8">
    <w:name w:val="heading 4"/>
    <w:basedOn w:val="1"/>
    <w:next w:val="1"/>
    <w:qFormat/>
    <w:uiPriority w:val="9"/>
    <w:pPr>
      <w:keepNext/>
      <w:keepLines/>
      <w:ind w:firstLine="880" w:firstLineChars="200"/>
      <w:outlineLvl w:val="3"/>
    </w:pPr>
    <w:rPr>
      <w:rFonts w:ascii="Arial" w:hAnsi="Arial" w:eastAsia="仿宋_GB2312"/>
      <w:b/>
      <w:sz w:val="32"/>
    </w:rPr>
  </w:style>
  <w:style w:type="character" w:default="1" w:styleId="19">
    <w:name w:val="Default Paragraph Font"/>
    <w:unhideWhenUsed/>
    <w:qFormat/>
    <w:uiPriority w:val="1"/>
  </w:style>
  <w:style w:type="table" w:default="1" w:styleId="24">
    <w:name w:val="Normal Table"/>
    <w:unhideWhenUsed/>
    <w:qFormat/>
    <w:uiPriority w:val="99"/>
    <w:tblPr>
      <w:tblLayout w:type="fixed"/>
      <w:tblCellMar>
        <w:top w:w="0" w:type="dxa"/>
        <w:left w:w="108" w:type="dxa"/>
        <w:bottom w:w="0" w:type="dxa"/>
        <w:right w:w="108" w:type="dxa"/>
      </w:tblCellMar>
    </w:tblPr>
  </w:style>
  <w:style w:type="paragraph" w:customStyle="1" w:styleId="2">
    <w:name w:val="BodyText"/>
    <w:basedOn w:val="1"/>
    <w:next w:val="1"/>
    <w:qFormat/>
    <w:uiPriority w:val="0"/>
    <w:pPr>
      <w:widowControl/>
      <w:spacing w:after="120"/>
      <w:textAlignment w:val="baseline"/>
    </w:pPr>
    <w:rPr>
      <w:rFonts w:cs="Times New Roman"/>
    </w:rPr>
  </w:style>
  <w:style w:type="paragraph" w:customStyle="1" w:styleId="4">
    <w:name w:val="名称2"/>
    <w:basedOn w:val="5"/>
    <w:qFormat/>
    <w:uiPriority w:val="0"/>
    <w:pPr>
      <w:spacing w:afterLines="100"/>
    </w:pPr>
    <w:rPr>
      <w:b w:val="0"/>
      <w:sz w:val="20"/>
    </w:rPr>
  </w:style>
  <w:style w:type="paragraph" w:customStyle="1" w:styleId="5">
    <w:name w:val="名称"/>
    <w:basedOn w:val="1"/>
    <w:link w:val="34"/>
    <w:qFormat/>
    <w:uiPriority w:val="0"/>
    <w:pPr>
      <w:jc w:val="center"/>
    </w:pPr>
    <w:rPr>
      <w:b/>
      <w:kern w:val="0"/>
      <w:sz w:val="44"/>
      <w:szCs w:val="20"/>
    </w:rPr>
  </w:style>
  <w:style w:type="paragraph" w:styleId="9">
    <w:name w:val="annotation subject"/>
    <w:basedOn w:val="10"/>
    <w:next w:val="10"/>
    <w:link w:val="36"/>
    <w:unhideWhenUsed/>
    <w:qFormat/>
    <w:uiPriority w:val="99"/>
    <w:rPr>
      <w:b/>
      <w:bCs/>
    </w:rPr>
  </w:style>
  <w:style w:type="paragraph" w:styleId="10">
    <w:name w:val="annotation text"/>
    <w:basedOn w:val="1"/>
    <w:link w:val="35"/>
    <w:unhideWhenUsed/>
    <w:qFormat/>
    <w:uiPriority w:val="99"/>
    <w:pPr>
      <w:jc w:val="left"/>
    </w:pPr>
  </w:style>
  <w:style w:type="paragraph" w:styleId="11">
    <w:name w:val="Document Map"/>
    <w:basedOn w:val="1"/>
    <w:link w:val="37"/>
    <w:unhideWhenUsed/>
    <w:qFormat/>
    <w:uiPriority w:val="99"/>
    <w:rPr>
      <w:rFonts w:ascii="宋体" w:eastAsia="宋体"/>
      <w:sz w:val="18"/>
      <w:szCs w:val="18"/>
    </w:rPr>
  </w:style>
  <w:style w:type="paragraph" w:styleId="12">
    <w:name w:val="Body Text"/>
    <w:basedOn w:val="1"/>
    <w:link w:val="26"/>
    <w:unhideWhenUsed/>
    <w:qFormat/>
    <w:uiPriority w:val="99"/>
    <w:pPr>
      <w:spacing w:after="120"/>
    </w:pPr>
    <w:rPr>
      <w:rFonts w:ascii="Times New Roman" w:hAnsi="Times New Roman" w:eastAsia="宋体" w:cs="Times New Roman"/>
      <w:szCs w:val="20"/>
    </w:rPr>
  </w:style>
  <w:style w:type="paragraph" w:styleId="13">
    <w:name w:val="Plain Text"/>
    <w:basedOn w:val="1"/>
    <w:qFormat/>
    <w:uiPriority w:val="0"/>
    <w:rPr>
      <w:rFonts w:ascii="宋体" w:hAnsi="Courier New" w:cs="Courier New"/>
      <w:szCs w:val="21"/>
    </w:rPr>
  </w:style>
  <w:style w:type="paragraph" w:styleId="14">
    <w:name w:val="Balloon Text"/>
    <w:basedOn w:val="1"/>
    <w:link w:val="31"/>
    <w:unhideWhenUsed/>
    <w:qFormat/>
    <w:uiPriority w:val="99"/>
    <w:rPr>
      <w:sz w:val="18"/>
      <w:szCs w:val="18"/>
    </w:rPr>
  </w:style>
  <w:style w:type="paragraph" w:styleId="15">
    <w:name w:val="footer"/>
    <w:basedOn w:val="1"/>
    <w:link w:val="30"/>
    <w:unhideWhenUsed/>
    <w:qFormat/>
    <w:uiPriority w:val="99"/>
    <w:pPr>
      <w:tabs>
        <w:tab w:val="center" w:pos="4153"/>
        <w:tab w:val="right" w:pos="8306"/>
      </w:tabs>
      <w:snapToGrid w:val="0"/>
      <w:jc w:val="left"/>
    </w:pPr>
    <w:rPr>
      <w:sz w:val="18"/>
      <w:szCs w:val="18"/>
    </w:rPr>
  </w:style>
  <w:style w:type="paragraph" w:styleId="16">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footnote text"/>
    <w:basedOn w:val="1"/>
    <w:unhideWhenUsed/>
    <w:qFormat/>
    <w:uiPriority w:val="99"/>
    <w:pPr>
      <w:snapToGrid w:val="0"/>
      <w:jc w:val="left"/>
    </w:pPr>
    <w:rPr>
      <w:sz w:val="18"/>
    </w:rPr>
  </w:style>
  <w:style w:type="paragraph" w:styleId="18">
    <w:name w:val="Normal (Web)"/>
    <w:basedOn w:val="1"/>
    <w:unhideWhenUsed/>
    <w:qFormat/>
    <w:uiPriority w:val="99"/>
    <w:pPr>
      <w:spacing w:beforeAutospacing="1" w:afterAutospacing="1"/>
      <w:jc w:val="left"/>
    </w:pPr>
    <w:rPr>
      <w:rFonts w:cs="Times New Roman"/>
      <w:kern w:val="0"/>
      <w:sz w:val="24"/>
    </w:rPr>
  </w:style>
  <w:style w:type="character" w:styleId="20">
    <w:name w:val="page number"/>
    <w:basedOn w:val="19"/>
    <w:qFormat/>
    <w:uiPriority w:val="0"/>
  </w:style>
  <w:style w:type="character" w:styleId="21">
    <w:name w:val="Emphasis"/>
    <w:basedOn w:val="19"/>
    <w:qFormat/>
    <w:uiPriority w:val="20"/>
    <w:rPr>
      <w:i/>
    </w:rPr>
  </w:style>
  <w:style w:type="character" w:styleId="22">
    <w:name w:val="annotation reference"/>
    <w:basedOn w:val="19"/>
    <w:unhideWhenUsed/>
    <w:qFormat/>
    <w:uiPriority w:val="99"/>
    <w:rPr>
      <w:sz w:val="21"/>
      <w:szCs w:val="21"/>
    </w:rPr>
  </w:style>
  <w:style w:type="character" w:styleId="23">
    <w:name w:val="footnote reference"/>
    <w:basedOn w:val="19"/>
    <w:unhideWhenUsed/>
    <w:qFormat/>
    <w:uiPriority w:val="99"/>
    <w:rPr>
      <w:vertAlign w:val="superscript"/>
    </w:rPr>
  </w:style>
  <w:style w:type="character" w:customStyle="1" w:styleId="25">
    <w:name w:val="正文文本 Char"/>
    <w:basedOn w:val="19"/>
    <w:qFormat/>
    <w:uiPriority w:val="99"/>
    <w:rPr>
      <w:kern w:val="2"/>
      <w:sz w:val="21"/>
    </w:rPr>
  </w:style>
  <w:style w:type="character" w:customStyle="1" w:styleId="26">
    <w:name w:val="正文文本 字符"/>
    <w:basedOn w:val="19"/>
    <w:link w:val="12"/>
    <w:semiHidden/>
    <w:qFormat/>
    <w:uiPriority w:val="99"/>
    <w:rPr>
      <w:rFonts w:asciiTheme="minorHAnsi" w:hAnsiTheme="minorHAnsi" w:eastAsiaTheme="minorEastAsia" w:cstheme="minorBidi"/>
      <w:kern w:val="2"/>
      <w:sz w:val="21"/>
      <w:szCs w:val="22"/>
    </w:rPr>
  </w:style>
  <w:style w:type="character" w:customStyle="1" w:styleId="27">
    <w:name w:val="标题 3 字符"/>
    <w:basedOn w:val="19"/>
    <w:link w:val="7"/>
    <w:semiHidden/>
    <w:qFormat/>
    <w:uiPriority w:val="9"/>
    <w:rPr>
      <w:rFonts w:asciiTheme="minorHAnsi" w:hAnsiTheme="minorHAnsi" w:eastAsiaTheme="minorEastAsia" w:cstheme="minorBidi"/>
      <w:b/>
      <w:bCs/>
      <w:kern w:val="2"/>
      <w:sz w:val="32"/>
      <w:szCs w:val="32"/>
    </w:rPr>
  </w:style>
  <w:style w:type="character" w:customStyle="1" w:styleId="28">
    <w:name w:val="标题 2 字符"/>
    <w:basedOn w:val="19"/>
    <w:link w:val="6"/>
    <w:semiHidden/>
    <w:qFormat/>
    <w:uiPriority w:val="9"/>
    <w:rPr>
      <w:rFonts w:asciiTheme="majorHAnsi" w:hAnsiTheme="majorHAnsi" w:eastAsiaTheme="majorEastAsia" w:cstheme="majorBidi"/>
      <w:b/>
      <w:bCs/>
      <w:kern w:val="2"/>
      <w:sz w:val="32"/>
      <w:szCs w:val="32"/>
    </w:rPr>
  </w:style>
  <w:style w:type="character" w:customStyle="1" w:styleId="29">
    <w:name w:val="页眉 字符"/>
    <w:basedOn w:val="19"/>
    <w:link w:val="16"/>
    <w:semiHidden/>
    <w:qFormat/>
    <w:uiPriority w:val="99"/>
    <w:rPr>
      <w:sz w:val="18"/>
      <w:szCs w:val="18"/>
    </w:rPr>
  </w:style>
  <w:style w:type="character" w:customStyle="1" w:styleId="30">
    <w:name w:val="页脚 字符"/>
    <w:basedOn w:val="19"/>
    <w:link w:val="15"/>
    <w:qFormat/>
    <w:uiPriority w:val="99"/>
    <w:rPr>
      <w:sz w:val="18"/>
      <w:szCs w:val="18"/>
    </w:rPr>
  </w:style>
  <w:style w:type="character" w:customStyle="1" w:styleId="31">
    <w:name w:val="批注框文本 字符"/>
    <w:basedOn w:val="19"/>
    <w:link w:val="14"/>
    <w:semiHidden/>
    <w:qFormat/>
    <w:uiPriority w:val="99"/>
    <w:rPr>
      <w:sz w:val="18"/>
      <w:szCs w:val="18"/>
    </w:rPr>
  </w:style>
  <w:style w:type="character" w:customStyle="1" w:styleId="32">
    <w:name w:val="标题 1 字符"/>
    <w:basedOn w:val="19"/>
    <w:link w:val="3"/>
    <w:qFormat/>
    <w:uiPriority w:val="0"/>
    <w:rPr>
      <w:rFonts w:ascii="方正小标宋简体" w:hAnsi="Times New Roman" w:eastAsia="方正小标宋简体" w:cs="Times New Roman"/>
      <w:kern w:val="0"/>
      <w:sz w:val="44"/>
      <w:szCs w:val="36"/>
    </w:rPr>
  </w:style>
  <w:style w:type="paragraph" w:customStyle="1" w:styleId="33">
    <w:name w:val="List Paragraph"/>
    <w:basedOn w:val="1"/>
    <w:qFormat/>
    <w:uiPriority w:val="34"/>
    <w:pPr>
      <w:ind w:firstLine="420" w:firstLineChars="200"/>
    </w:pPr>
  </w:style>
  <w:style w:type="character" w:customStyle="1" w:styleId="34">
    <w:name w:val="名称 Char"/>
    <w:link w:val="5"/>
    <w:qFormat/>
    <w:uiPriority w:val="0"/>
    <w:rPr>
      <w:b/>
      <w:kern w:val="0"/>
      <w:sz w:val="44"/>
      <w:szCs w:val="20"/>
    </w:rPr>
  </w:style>
  <w:style w:type="character" w:customStyle="1" w:styleId="35">
    <w:name w:val="批注文字 字符"/>
    <w:basedOn w:val="19"/>
    <w:link w:val="10"/>
    <w:semiHidden/>
    <w:qFormat/>
    <w:uiPriority w:val="99"/>
    <w:rPr>
      <w:rFonts w:asciiTheme="minorHAnsi" w:hAnsiTheme="minorHAnsi" w:eastAsiaTheme="minorEastAsia" w:cstheme="minorBidi"/>
      <w:kern w:val="2"/>
      <w:sz w:val="21"/>
      <w:szCs w:val="22"/>
    </w:rPr>
  </w:style>
  <w:style w:type="character" w:customStyle="1" w:styleId="36">
    <w:name w:val="批注主题 字符"/>
    <w:basedOn w:val="35"/>
    <w:link w:val="9"/>
    <w:semiHidden/>
    <w:qFormat/>
    <w:uiPriority w:val="99"/>
    <w:rPr>
      <w:rFonts w:asciiTheme="minorHAnsi" w:hAnsiTheme="minorHAnsi" w:eastAsiaTheme="minorEastAsia" w:cstheme="minorBidi"/>
      <w:b/>
      <w:bCs/>
      <w:kern w:val="2"/>
      <w:sz w:val="21"/>
      <w:szCs w:val="22"/>
    </w:rPr>
  </w:style>
  <w:style w:type="character" w:customStyle="1" w:styleId="37">
    <w:name w:val="文档结构图 字符"/>
    <w:basedOn w:val="19"/>
    <w:link w:val="11"/>
    <w:semiHidden/>
    <w:qFormat/>
    <w:uiPriority w:val="99"/>
    <w:rPr>
      <w:rFonts w:ascii="宋体" w:hAnsiTheme="minorHAnsi"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31542E-DAFC-4621-9BB4-5AF3127D3330}">
  <ds:schemaRefs/>
</ds:datastoreItem>
</file>

<file path=docProps/app.xml><?xml version="1.0" encoding="utf-8"?>
<Properties xmlns="http://schemas.openxmlformats.org/officeDocument/2006/extended-properties" xmlns:vt="http://schemas.openxmlformats.org/officeDocument/2006/docPropsVTypes">
  <Template>Normal.dotm</Template>
  <Company>SAMR</Company>
  <Pages>16</Pages>
  <Words>1218</Words>
  <Characters>6945</Characters>
  <Lines>57</Lines>
  <Paragraphs>16</Paragraphs>
  <TotalTime>24</TotalTime>
  <ScaleCrop>false</ScaleCrop>
  <LinksUpToDate>false</LinksUpToDate>
  <CharactersWithSpaces>8147</CharactersWithSpaces>
  <Application>WPS Office_10.8.2.7090_F1E327BC-269C-435d-A152-05C5408002CA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2021-02-01T01:17:00Z</dcterms:created>
  <dc:creator>钱磊</dc:creator>
  <cp:lastModifiedBy>韩笑</cp:lastModifiedBy>
  <cp:lastPrinted>2022-07-13T03:27:00Z</cp:lastPrinted>
  <dcterms:modified xsi:type="dcterms:W3CDTF">2022-07-18T03:17:06Z</dcterms:modified>
  <dc:title>国家市场监督管理总局_x000B_行政处罚决定书</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2052-10.8.2.7090</vt:lpwstr>
  </property>
</Properties>
</file>