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EC89E5">
      <w:pPr>
        <w:widowControl/>
        <w:spacing w:after="240"/>
        <w:jc w:val="center"/>
        <w:rPr>
          <w:rFonts w:hint="eastAsia" w:ascii="黑体" w:hAnsi="黑体" w:eastAsia="黑体" w:cs="黑体"/>
          <w:bCs/>
          <w:kern w:val="0"/>
          <w:sz w:val="44"/>
          <w:szCs w:val="44"/>
          <w:lang w:val="en-GB" w:bidi="ar-AE"/>
        </w:rPr>
      </w:pPr>
      <w:bookmarkStart w:id="0" w:name="_GoBack"/>
      <w:bookmarkEnd w:id="0"/>
      <w:r>
        <w:rPr>
          <w:rFonts w:hint="eastAsia" w:ascii="黑体" w:hAnsi="黑体" w:eastAsia="黑体" w:cs="黑体"/>
          <w:bCs/>
          <w:kern w:val="0"/>
          <w:sz w:val="44"/>
          <w:szCs w:val="44"/>
          <w:lang w:val="en-GB" w:bidi="ar-AE"/>
        </w:rPr>
        <w:t>经营者集中简易案件公示表</w:t>
      </w:r>
    </w:p>
    <w:tbl>
      <w:tblPr>
        <w:tblStyle w:val="10"/>
        <w:tblW w:w="96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0"/>
        <w:gridCol w:w="1457"/>
        <w:gridCol w:w="6243"/>
      </w:tblGrid>
      <w:tr w14:paraId="365B0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jc w:val="center"/>
        </w:trPr>
        <w:tc>
          <w:tcPr>
            <w:tcW w:w="1940" w:type="dxa"/>
            <w:shd w:val="clear" w:color="auto" w:fill="D9D9D9"/>
            <w:vAlign w:val="center"/>
          </w:tcPr>
          <w:p w14:paraId="0566239D">
            <w:pPr>
              <w:pStyle w:val="5"/>
              <w:adjustRightInd w:val="0"/>
              <w:snapToGrid w:val="0"/>
              <w:spacing w:after="0" w:line="320" w:lineRule="exact"/>
              <w:jc w:val="center"/>
              <w:rPr>
                <w:rFonts w:hint="default" w:ascii="Times New Roman" w:hAnsi="Times New Roman" w:cs="Times New Roman"/>
                <w:bCs/>
                <w:color w:val="000000"/>
                <w:sz w:val="24"/>
              </w:rPr>
            </w:pPr>
            <w:r>
              <w:rPr>
                <w:rFonts w:hint="default" w:ascii="Times New Roman" w:hAnsi="Times New Roman" w:cs="Times New Roman"/>
                <w:bCs/>
                <w:color w:val="000000"/>
                <w:sz w:val="24"/>
              </w:rPr>
              <w:t>案件名称</w:t>
            </w:r>
          </w:p>
        </w:tc>
        <w:tc>
          <w:tcPr>
            <w:tcW w:w="7700" w:type="dxa"/>
            <w:gridSpan w:val="2"/>
            <w:vAlign w:val="center"/>
          </w:tcPr>
          <w:p w14:paraId="434CC80D">
            <w:pPr>
              <w:adjustRightInd w:val="0"/>
              <w:snapToGrid w:val="0"/>
              <w:spacing w:after="0" w:line="320" w:lineRule="exact"/>
              <w:rPr>
                <w:rFonts w:hint="default" w:ascii="Times New Roman" w:hAnsi="Times New Roman" w:cs="Times New Roman"/>
                <w:bCs/>
                <w:color w:val="000000"/>
                <w:sz w:val="24"/>
              </w:rPr>
            </w:pPr>
            <w:r>
              <w:rPr>
                <w:rFonts w:hint="default" w:ascii="Times New Roman" w:hAnsi="Times New Roman" w:cs="Times New Roman"/>
                <w:sz w:val="24"/>
              </w:rPr>
              <w:t>深圳港创新私募股权基金管理（深圳）有限公司与中国信达资产管理股份有限公司新设合营企业案</w:t>
            </w:r>
          </w:p>
        </w:tc>
      </w:tr>
      <w:tr w14:paraId="6CFBD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61" w:hRule="atLeast"/>
          <w:jc w:val="center"/>
        </w:trPr>
        <w:tc>
          <w:tcPr>
            <w:tcW w:w="1940" w:type="dxa"/>
            <w:shd w:val="clear" w:color="auto" w:fill="D9D9D9"/>
            <w:vAlign w:val="center"/>
          </w:tcPr>
          <w:p w14:paraId="13B944D5">
            <w:pPr>
              <w:pStyle w:val="5"/>
              <w:adjustRightInd w:val="0"/>
              <w:snapToGrid w:val="0"/>
              <w:spacing w:after="0" w:line="320" w:lineRule="exact"/>
              <w:jc w:val="center"/>
              <w:rPr>
                <w:rFonts w:hint="default" w:ascii="Times New Roman" w:hAnsi="Times New Roman" w:cs="Times New Roman"/>
                <w:bCs/>
                <w:color w:val="000000"/>
                <w:sz w:val="24"/>
              </w:rPr>
            </w:pPr>
            <w:r>
              <w:rPr>
                <w:rFonts w:hint="default" w:ascii="Times New Roman" w:hAnsi="Times New Roman" w:cs="Times New Roman"/>
                <w:bCs/>
                <w:color w:val="000000"/>
                <w:sz w:val="24"/>
              </w:rPr>
              <w:t>交易概况（限200字内）</w:t>
            </w:r>
          </w:p>
        </w:tc>
        <w:tc>
          <w:tcPr>
            <w:tcW w:w="7700" w:type="dxa"/>
            <w:gridSpan w:val="2"/>
            <w:vAlign w:val="center"/>
          </w:tcPr>
          <w:p w14:paraId="08CDF222">
            <w:pPr>
              <w:snapToGrid w:val="0"/>
              <w:spacing w:after="0" w:line="320" w:lineRule="exact"/>
              <w:ind w:firstLine="480" w:firstLineChars="200"/>
              <w:rPr>
                <w:rFonts w:hint="default" w:ascii="Times New Roman" w:hAnsi="Times New Roman" w:cs="Times New Roman"/>
                <w:sz w:val="24"/>
              </w:rPr>
            </w:pPr>
            <w:r>
              <w:rPr>
                <w:rFonts w:hint="default" w:ascii="Times New Roman" w:hAnsi="Times New Roman" w:cs="Times New Roman"/>
                <w:sz w:val="24"/>
              </w:rPr>
              <w:t>深圳港创新私募股权基金管理（深圳）有限公司（“</w:t>
            </w:r>
            <w:r>
              <w:rPr>
                <w:rFonts w:hint="default" w:ascii="Times New Roman" w:hAnsi="Times New Roman" w:cs="Times New Roman"/>
                <w:b/>
                <w:bCs/>
                <w:sz w:val="24"/>
              </w:rPr>
              <w:t>深圳港基金公司</w:t>
            </w:r>
            <w:r>
              <w:rPr>
                <w:rFonts w:hint="default" w:ascii="Times New Roman" w:hAnsi="Times New Roman" w:cs="Times New Roman"/>
                <w:sz w:val="24"/>
              </w:rPr>
              <w:t>”）与中国信达资产管理股份有限公司（“</w:t>
            </w:r>
            <w:r>
              <w:rPr>
                <w:rFonts w:hint="default" w:ascii="Times New Roman" w:hAnsi="Times New Roman" w:cs="Times New Roman"/>
                <w:b/>
                <w:bCs/>
                <w:sz w:val="24"/>
              </w:rPr>
              <w:t>中国信达</w:t>
            </w:r>
            <w:r>
              <w:rPr>
                <w:rFonts w:hint="default" w:ascii="Times New Roman" w:hAnsi="Times New Roman" w:cs="Times New Roman"/>
                <w:sz w:val="24"/>
              </w:rPr>
              <w:t>”）等签署协议，共同设立一家合营企业。合营企业为私募股权投资基金，仅用于收购南京禄昌资产管理有限公司（“</w:t>
            </w:r>
            <w:r>
              <w:rPr>
                <w:rFonts w:hint="default" w:ascii="Times New Roman" w:hAnsi="Times New Roman" w:cs="Times New Roman"/>
                <w:b/>
                <w:bCs/>
                <w:sz w:val="24"/>
              </w:rPr>
              <w:t>南京禄昌</w:t>
            </w:r>
            <w:r>
              <w:rPr>
                <w:rFonts w:hint="default" w:ascii="Times New Roman" w:hAnsi="Times New Roman" w:cs="Times New Roman"/>
                <w:sz w:val="24"/>
              </w:rPr>
              <w:t>”）、南京优荣资产管理有限公司（“</w:t>
            </w:r>
            <w:r>
              <w:rPr>
                <w:rFonts w:hint="default" w:ascii="Times New Roman" w:hAnsi="Times New Roman" w:cs="Times New Roman"/>
                <w:b/>
                <w:bCs/>
                <w:sz w:val="24"/>
              </w:rPr>
              <w:t>南京优荣</w:t>
            </w:r>
            <w:r>
              <w:rPr>
                <w:rFonts w:hint="default" w:ascii="Times New Roman" w:hAnsi="Times New Roman" w:cs="Times New Roman"/>
                <w:sz w:val="24"/>
              </w:rPr>
              <w:t>”）等7家目标公司的100%股权，目标公司均从事通用仓库开发与租赁业务。</w:t>
            </w:r>
          </w:p>
          <w:p w14:paraId="62C850B5">
            <w:pPr>
              <w:snapToGrid w:val="0"/>
              <w:spacing w:after="0" w:line="320" w:lineRule="exact"/>
              <w:ind w:firstLine="480" w:firstLineChars="200"/>
              <w:rPr>
                <w:rFonts w:hint="default" w:ascii="Times New Roman" w:hAnsi="Times New Roman" w:cs="Times New Roman"/>
                <w:sz w:val="24"/>
              </w:rPr>
            </w:pPr>
            <w:r>
              <w:rPr>
                <w:rFonts w:hint="default" w:ascii="Times New Roman" w:hAnsi="Times New Roman" w:cs="Times New Roman"/>
                <w:sz w:val="24"/>
              </w:rPr>
              <w:t>交易前，南京禄昌、南京优荣均由深圳港基金公司全资单独控制，其他5家目标公司与深圳港基金公司、中国信达不存在任何直接或间接的控股关系。交易后，深圳港基金公司与中国信达将作为合营企业的普通合伙人共同控制合营企业，并通过合营企业共同控制7家目标公司。</w:t>
            </w:r>
          </w:p>
        </w:tc>
      </w:tr>
      <w:tr w14:paraId="0332E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jc w:val="center"/>
        </w:trPr>
        <w:tc>
          <w:tcPr>
            <w:tcW w:w="1940" w:type="dxa"/>
            <w:vMerge w:val="restart"/>
            <w:shd w:val="clear" w:color="auto" w:fill="D9D9D9"/>
            <w:vAlign w:val="center"/>
          </w:tcPr>
          <w:p w14:paraId="460E73ED">
            <w:pPr>
              <w:pStyle w:val="5"/>
              <w:adjustRightInd w:val="0"/>
              <w:snapToGrid w:val="0"/>
              <w:spacing w:after="0" w:line="320" w:lineRule="exact"/>
              <w:jc w:val="center"/>
              <w:rPr>
                <w:rFonts w:hint="default" w:ascii="Times New Roman" w:hAnsi="Times New Roman" w:cs="Times New Roman"/>
                <w:bCs/>
                <w:color w:val="000000"/>
                <w:sz w:val="24"/>
              </w:rPr>
            </w:pPr>
            <w:r>
              <w:rPr>
                <w:rFonts w:hint="default" w:ascii="Times New Roman" w:hAnsi="Times New Roman" w:cs="Times New Roman"/>
                <w:bCs/>
                <w:color w:val="000000"/>
                <w:sz w:val="24"/>
              </w:rPr>
              <w:t>参与集中的经营者简介（每个限100字以内）</w:t>
            </w:r>
          </w:p>
        </w:tc>
        <w:tc>
          <w:tcPr>
            <w:tcW w:w="1457" w:type="dxa"/>
            <w:vAlign w:val="center"/>
          </w:tcPr>
          <w:p w14:paraId="118D5219">
            <w:pPr>
              <w:pStyle w:val="5"/>
              <w:adjustRightInd w:val="0"/>
              <w:snapToGrid w:val="0"/>
              <w:spacing w:after="0" w:line="320" w:lineRule="exact"/>
              <w:rPr>
                <w:rFonts w:hint="eastAsia" w:ascii="Times New Roman" w:hAnsi="Times New Roman" w:eastAsia="宋体" w:cs="Times New Roman"/>
                <w:bCs/>
                <w:color w:val="000000"/>
                <w:sz w:val="24"/>
                <w:lang w:eastAsia="zh-CN"/>
              </w:rPr>
            </w:pPr>
            <w:r>
              <w:rPr>
                <w:rFonts w:hint="default" w:ascii="Times New Roman" w:hAnsi="Times New Roman" w:cs="Times New Roman"/>
                <w:bCs/>
                <w:color w:val="000000"/>
                <w:sz w:val="24"/>
              </w:rPr>
              <w:t>1.</w:t>
            </w:r>
            <w:r>
              <w:rPr>
                <w:rFonts w:hint="eastAsia" w:cs="Times New Roman"/>
                <w:bCs/>
                <w:color w:val="000000"/>
                <w:sz w:val="24"/>
                <w:lang w:eastAsia="zh-CN"/>
              </w:rPr>
              <w:t>深圳港基金公司</w:t>
            </w:r>
          </w:p>
        </w:tc>
        <w:tc>
          <w:tcPr>
            <w:tcW w:w="6243" w:type="dxa"/>
            <w:vAlign w:val="center"/>
          </w:tcPr>
          <w:p w14:paraId="6CF6602A">
            <w:pPr>
              <w:adjustRightInd w:val="0"/>
              <w:snapToGrid w:val="0"/>
              <w:spacing w:after="0" w:line="320" w:lineRule="exact"/>
              <w:ind w:firstLine="480" w:firstLineChars="200"/>
              <w:rPr>
                <w:rFonts w:hint="default" w:ascii="Times New Roman" w:hAnsi="Times New Roman" w:cs="Times New Roman"/>
                <w:bCs/>
                <w:color w:val="000000"/>
                <w:sz w:val="24"/>
              </w:rPr>
            </w:pPr>
            <w:r>
              <w:rPr>
                <w:rFonts w:hint="default" w:ascii="Times New Roman" w:hAnsi="Times New Roman" w:cs="Times New Roman"/>
                <w:bCs/>
                <w:color w:val="000000"/>
                <w:sz w:val="24"/>
              </w:rPr>
              <w:t>深圳港基金公司于2022年7月20日成立于深圳市，主要业务为私募股权投资基金管理、创业投资基金管理服务等。</w:t>
            </w:r>
          </w:p>
          <w:p w14:paraId="36388D4E">
            <w:pPr>
              <w:adjustRightInd w:val="0"/>
              <w:snapToGrid w:val="0"/>
              <w:spacing w:after="0" w:line="320" w:lineRule="exact"/>
              <w:ind w:firstLine="480" w:firstLineChars="200"/>
              <w:rPr>
                <w:rFonts w:hint="default" w:ascii="Times New Roman" w:hAnsi="Times New Roman" w:cs="Times New Roman"/>
                <w:sz w:val="24"/>
              </w:rPr>
            </w:pPr>
            <w:r>
              <w:rPr>
                <w:rFonts w:hint="default" w:ascii="Times New Roman" w:hAnsi="Times New Roman" w:cs="Times New Roman"/>
                <w:bCs/>
                <w:color w:val="000000"/>
                <w:sz w:val="24"/>
              </w:rPr>
              <w:t>深圳港基金公司的最终控制人为深圳港集团有限公司，主要业务为港口运营业务等。</w:t>
            </w:r>
          </w:p>
        </w:tc>
      </w:tr>
      <w:tr w14:paraId="50046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jc w:val="center"/>
        </w:trPr>
        <w:tc>
          <w:tcPr>
            <w:tcW w:w="1940" w:type="dxa"/>
            <w:vMerge w:val="continue"/>
            <w:shd w:val="clear" w:color="auto" w:fill="D9D9D9"/>
            <w:vAlign w:val="center"/>
          </w:tcPr>
          <w:p w14:paraId="117E09AC">
            <w:pPr>
              <w:pStyle w:val="5"/>
              <w:adjustRightInd w:val="0"/>
              <w:snapToGrid w:val="0"/>
              <w:spacing w:after="0" w:line="320" w:lineRule="exact"/>
              <w:jc w:val="center"/>
              <w:rPr>
                <w:rFonts w:hint="default" w:ascii="Times New Roman" w:hAnsi="Times New Roman" w:cs="Times New Roman"/>
                <w:bCs/>
                <w:color w:val="000000"/>
                <w:sz w:val="24"/>
              </w:rPr>
            </w:pPr>
          </w:p>
        </w:tc>
        <w:tc>
          <w:tcPr>
            <w:tcW w:w="1457" w:type="dxa"/>
            <w:vAlign w:val="center"/>
          </w:tcPr>
          <w:p w14:paraId="1A67AE5E">
            <w:pPr>
              <w:pStyle w:val="5"/>
              <w:adjustRightInd w:val="0"/>
              <w:snapToGrid w:val="0"/>
              <w:spacing w:after="0" w:line="320" w:lineRule="exact"/>
              <w:rPr>
                <w:rFonts w:hint="eastAsia" w:ascii="Times New Roman" w:hAnsi="Times New Roman" w:eastAsia="宋体" w:cs="Times New Roman"/>
                <w:bCs/>
                <w:color w:val="000000"/>
                <w:sz w:val="24"/>
                <w:lang w:eastAsia="zh-CN"/>
              </w:rPr>
            </w:pPr>
            <w:r>
              <w:rPr>
                <w:rFonts w:hint="default" w:ascii="Times New Roman" w:hAnsi="Times New Roman" w:cs="Times New Roman"/>
                <w:bCs/>
                <w:color w:val="000000"/>
                <w:sz w:val="24"/>
              </w:rPr>
              <w:t>2.</w:t>
            </w:r>
            <w:r>
              <w:rPr>
                <w:rFonts w:hint="eastAsia" w:cs="Times New Roman"/>
                <w:bCs/>
                <w:color w:val="000000"/>
                <w:sz w:val="24"/>
                <w:lang w:eastAsia="zh-CN"/>
              </w:rPr>
              <w:t>中国信达</w:t>
            </w:r>
          </w:p>
        </w:tc>
        <w:tc>
          <w:tcPr>
            <w:tcW w:w="6243" w:type="dxa"/>
            <w:vAlign w:val="center"/>
          </w:tcPr>
          <w:p w14:paraId="3B18CFF3">
            <w:pPr>
              <w:adjustRightInd w:val="0"/>
              <w:snapToGrid w:val="0"/>
              <w:spacing w:after="0" w:line="320" w:lineRule="exact"/>
              <w:ind w:firstLine="480" w:firstLineChars="200"/>
              <w:rPr>
                <w:rFonts w:hint="default" w:ascii="Times New Roman" w:hAnsi="Times New Roman" w:cs="Times New Roman"/>
                <w:sz w:val="24"/>
              </w:rPr>
            </w:pPr>
            <w:r>
              <w:rPr>
                <w:rFonts w:hint="default" w:ascii="Times New Roman" w:hAnsi="Times New Roman" w:cs="Times New Roman"/>
                <w:sz w:val="24"/>
              </w:rPr>
              <w:t>中国信达于1999年4月19日成立于北京市，为香港联合交易所上市公司，主要业务为收购、受托经营金融机构和非金融机构不良资产，对不良资产、股权资产进行管理、投资和处置等。</w:t>
            </w:r>
          </w:p>
          <w:p w14:paraId="2E7C37F8">
            <w:pPr>
              <w:adjustRightInd w:val="0"/>
              <w:snapToGrid w:val="0"/>
              <w:spacing w:after="0" w:line="320" w:lineRule="exact"/>
              <w:ind w:firstLine="480" w:firstLineChars="200"/>
              <w:rPr>
                <w:rFonts w:hint="default" w:ascii="Times New Roman" w:hAnsi="Times New Roman" w:cs="Times New Roman"/>
                <w:sz w:val="24"/>
              </w:rPr>
            </w:pPr>
            <w:r>
              <w:rPr>
                <w:rFonts w:hint="default" w:ascii="Times New Roman" w:hAnsi="Times New Roman" w:cs="Times New Roman"/>
                <w:sz w:val="24"/>
              </w:rPr>
              <w:t>中国信达是中华人民共和国国务院国有资产监督管理委员会下属企业。</w:t>
            </w:r>
          </w:p>
        </w:tc>
      </w:tr>
      <w:tr w14:paraId="7D340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jc w:val="center"/>
        </w:trPr>
        <w:tc>
          <w:tcPr>
            <w:tcW w:w="1940" w:type="dxa"/>
            <w:vMerge w:val="continue"/>
            <w:shd w:val="clear" w:color="auto" w:fill="D9D9D9"/>
            <w:vAlign w:val="center"/>
          </w:tcPr>
          <w:p w14:paraId="29B94F9A">
            <w:pPr>
              <w:pStyle w:val="5"/>
              <w:adjustRightInd w:val="0"/>
              <w:snapToGrid w:val="0"/>
              <w:spacing w:after="0" w:line="320" w:lineRule="exact"/>
              <w:jc w:val="center"/>
              <w:rPr>
                <w:rFonts w:hint="default" w:ascii="Times New Roman" w:hAnsi="Times New Roman" w:cs="Times New Roman"/>
                <w:bCs/>
                <w:color w:val="000000"/>
                <w:sz w:val="24"/>
              </w:rPr>
            </w:pPr>
          </w:p>
        </w:tc>
        <w:tc>
          <w:tcPr>
            <w:tcW w:w="1457" w:type="dxa"/>
            <w:vAlign w:val="center"/>
          </w:tcPr>
          <w:p w14:paraId="27B62927">
            <w:pPr>
              <w:pStyle w:val="5"/>
              <w:adjustRightInd w:val="0"/>
              <w:snapToGrid w:val="0"/>
              <w:spacing w:after="0" w:line="320" w:lineRule="exact"/>
              <w:rPr>
                <w:rFonts w:hint="default" w:ascii="Times New Roman" w:hAnsi="Times New Roman" w:cs="Times New Roman"/>
                <w:bCs/>
                <w:color w:val="000000"/>
                <w:sz w:val="24"/>
              </w:rPr>
            </w:pPr>
            <w:r>
              <w:rPr>
                <w:rFonts w:hint="eastAsia" w:cs="Times New Roman"/>
                <w:bCs/>
                <w:color w:val="000000"/>
                <w:sz w:val="24"/>
                <w:lang w:val="en-US" w:eastAsia="zh-CN"/>
              </w:rPr>
              <w:t>3.</w:t>
            </w:r>
            <w:r>
              <w:rPr>
                <w:rFonts w:hint="default" w:ascii="Times New Roman" w:hAnsi="Times New Roman" w:cs="Times New Roman"/>
                <w:bCs/>
                <w:color w:val="000000"/>
                <w:sz w:val="24"/>
              </w:rPr>
              <w:t>南京云端企业管理有限公司（“</w:t>
            </w:r>
            <w:r>
              <w:rPr>
                <w:rFonts w:hint="default" w:ascii="Times New Roman" w:hAnsi="Times New Roman" w:cs="Times New Roman"/>
                <w:b/>
                <w:bCs w:val="0"/>
                <w:color w:val="000000"/>
                <w:sz w:val="24"/>
              </w:rPr>
              <w:t>南京云端</w:t>
            </w:r>
            <w:r>
              <w:rPr>
                <w:rFonts w:hint="default" w:ascii="Times New Roman" w:hAnsi="Times New Roman" w:cs="Times New Roman"/>
                <w:bCs/>
                <w:color w:val="000000"/>
                <w:sz w:val="24"/>
              </w:rPr>
              <w:t>”）</w:t>
            </w:r>
          </w:p>
        </w:tc>
        <w:tc>
          <w:tcPr>
            <w:tcW w:w="6243" w:type="dxa"/>
            <w:vAlign w:val="center"/>
          </w:tcPr>
          <w:p w14:paraId="384386CA">
            <w:pPr>
              <w:adjustRightInd w:val="0"/>
              <w:snapToGrid w:val="0"/>
              <w:spacing w:after="0" w:line="320" w:lineRule="exact"/>
              <w:ind w:firstLine="480" w:firstLineChars="200"/>
              <w:rPr>
                <w:rFonts w:hint="default" w:ascii="Times New Roman" w:hAnsi="Times New Roman" w:cs="Times New Roman"/>
                <w:sz w:val="24"/>
              </w:rPr>
            </w:pPr>
            <w:r>
              <w:rPr>
                <w:rFonts w:hint="default" w:ascii="Times New Roman" w:hAnsi="Times New Roman" w:cs="Times New Roman"/>
                <w:sz w:val="24"/>
              </w:rPr>
              <w:t>南京云端于2019年5月7日成立于南京市，主要业务为通用仓库开发与租赁业务。</w:t>
            </w:r>
          </w:p>
          <w:p w14:paraId="4D5D8282">
            <w:pPr>
              <w:adjustRightInd w:val="0"/>
              <w:snapToGrid w:val="0"/>
              <w:spacing w:after="0" w:line="320" w:lineRule="exact"/>
              <w:ind w:firstLine="480" w:firstLineChars="200"/>
              <w:rPr>
                <w:rFonts w:hint="default" w:ascii="Times New Roman" w:hAnsi="Times New Roman" w:cs="Times New Roman"/>
                <w:sz w:val="24"/>
              </w:rPr>
            </w:pPr>
            <w:r>
              <w:rPr>
                <w:rFonts w:hint="default" w:ascii="Times New Roman" w:hAnsi="Times New Roman" w:cs="Times New Roman"/>
                <w:sz w:val="24"/>
              </w:rPr>
              <w:t>南京云端的最终控制人为深圳市创新投资集团有限公司（“</w:t>
            </w:r>
            <w:r>
              <w:rPr>
                <w:rFonts w:hint="default" w:ascii="Times New Roman" w:hAnsi="Times New Roman" w:cs="Times New Roman"/>
                <w:b/>
                <w:bCs/>
                <w:sz w:val="24"/>
              </w:rPr>
              <w:t>深创投</w:t>
            </w:r>
            <w:r>
              <w:rPr>
                <w:rFonts w:hint="default" w:ascii="Times New Roman" w:hAnsi="Times New Roman" w:cs="Times New Roman"/>
                <w:sz w:val="24"/>
              </w:rPr>
              <w:t>”），主要业务为创业投资业务。</w:t>
            </w:r>
          </w:p>
        </w:tc>
      </w:tr>
      <w:tr w14:paraId="5C098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jc w:val="center"/>
        </w:trPr>
        <w:tc>
          <w:tcPr>
            <w:tcW w:w="1940" w:type="dxa"/>
            <w:vMerge w:val="continue"/>
            <w:shd w:val="clear" w:color="auto" w:fill="D9D9D9"/>
            <w:vAlign w:val="center"/>
          </w:tcPr>
          <w:p w14:paraId="74C49280">
            <w:pPr>
              <w:pStyle w:val="5"/>
              <w:adjustRightInd w:val="0"/>
              <w:snapToGrid w:val="0"/>
              <w:spacing w:after="0" w:line="320" w:lineRule="exact"/>
              <w:jc w:val="center"/>
              <w:rPr>
                <w:rFonts w:hint="default" w:ascii="Times New Roman" w:hAnsi="Times New Roman" w:cs="Times New Roman"/>
                <w:bCs/>
                <w:color w:val="000000"/>
                <w:sz w:val="24"/>
              </w:rPr>
            </w:pPr>
          </w:p>
        </w:tc>
        <w:tc>
          <w:tcPr>
            <w:tcW w:w="1457" w:type="dxa"/>
            <w:vAlign w:val="center"/>
          </w:tcPr>
          <w:p w14:paraId="0BC0725B">
            <w:pPr>
              <w:pStyle w:val="5"/>
              <w:adjustRightInd w:val="0"/>
              <w:snapToGrid w:val="0"/>
              <w:spacing w:after="0" w:line="320" w:lineRule="exact"/>
              <w:rPr>
                <w:rFonts w:hint="default" w:ascii="Times New Roman" w:hAnsi="Times New Roman" w:cs="Times New Roman"/>
                <w:bCs/>
                <w:color w:val="000000"/>
                <w:sz w:val="24"/>
              </w:rPr>
            </w:pPr>
            <w:r>
              <w:rPr>
                <w:rFonts w:hint="eastAsia" w:cs="Times New Roman"/>
                <w:bCs/>
                <w:color w:val="000000"/>
                <w:sz w:val="24"/>
                <w:lang w:val="en-US" w:eastAsia="zh-CN"/>
              </w:rPr>
              <w:t>4.</w:t>
            </w:r>
            <w:r>
              <w:rPr>
                <w:rFonts w:hint="default" w:ascii="Times New Roman" w:hAnsi="Times New Roman" w:cs="Times New Roman"/>
                <w:bCs/>
                <w:color w:val="000000"/>
                <w:sz w:val="24"/>
              </w:rPr>
              <w:t>南京尚睿企业管理有限公司（“</w:t>
            </w:r>
            <w:r>
              <w:rPr>
                <w:rFonts w:hint="default" w:ascii="Times New Roman" w:hAnsi="Times New Roman" w:cs="Times New Roman"/>
                <w:b/>
                <w:bCs w:val="0"/>
                <w:color w:val="000000"/>
                <w:sz w:val="24"/>
              </w:rPr>
              <w:t>南京尚睿</w:t>
            </w:r>
            <w:r>
              <w:rPr>
                <w:rFonts w:hint="default" w:ascii="Times New Roman" w:hAnsi="Times New Roman" w:cs="Times New Roman"/>
                <w:bCs/>
                <w:color w:val="000000"/>
                <w:sz w:val="24"/>
              </w:rPr>
              <w:t>”）</w:t>
            </w:r>
          </w:p>
        </w:tc>
        <w:tc>
          <w:tcPr>
            <w:tcW w:w="6243" w:type="dxa"/>
            <w:vAlign w:val="center"/>
          </w:tcPr>
          <w:p w14:paraId="5DB467C3">
            <w:pPr>
              <w:adjustRightInd w:val="0"/>
              <w:snapToGrid w:val="0"/>
              <w:spacing w:after="0" w:line="320" w:lineRule="exact"/>
              <w:ind w:firstLine="480" w:firstLineChars="200"/>
              <w:rPr>
                <w:rFonts w:hint="default" w:ascii="Times New Roman" w:hAnsi="Times New Roman" w:cs="Times New Roman"/>
                <w:sz w:val="24"/>
              </w:rPr>
            </w:pPr>
            <w:r>
              <w:rPr>
                <w:rFonts w:hint="default" w:ascii="Times New Roman" w:hAnsi="Times New Roman" w:cs="Times New Roman"/>
                <w:sz w:val="24"/>
              </w:rPr>
              <w:t>南京尚睿于2019年5月7日成立于南京市，主要业务为通用仓库开发与租赁业务。</w:t>
            </w:r>
          </w:p>
          <w:p w14:paraId="4A6ACBCB">
            <w:pPr>
              <w:adjustRightInd w:val="0"/>
              <w:snapToGrid w:val="0"/>
              <w:spacing w:after="0" w:line="320" w:lineRule="exact"/>
              <w:ind w:firstLine="480" w:firstLineChars="200"/>
              <w:rPr>
                <w:rFonts w:hint="default" w:ascii="Times New Roman" w:hAnsi="Times New Roman" w:cs="Times New Roman"/>
                <w:sz w:val="24"/>
              </w:rPr>
            </w:pPr>
            <w:r>
              <w:rPr>
                <w:rFonts w:hint="default" w:ascii="Times New Roman" w:hAnsi="Times New Roman" w:cs="Times New Roman"/>
                <w:sz w:val="24"/>
              </w:rPr>
              <w:t>南京尚睿的最终控制人为深创投，主要业务为创业投资业务。</w:t>
            </w:r>
          </w:p>
        </w:tc>
      </w:tr>
      <w:tr w14:paraId="33AD5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jc w:val="center"/>
        </w:trPr>
        <w:tc>
          <w:tcPr>
            <w:tcW w:w="1940" w:type="dxa"/>
            <w:vMerge w:val="continue"/>
            <w:shd w:val="clear" w:color="auto" w:fill="D9D9D9"/>
            <w:vAlign w:val="center"/>
          </w:tcPr>
          <w:p w14:paraId="0FB7FD0A">
            <w:pPr>
              <w:pStyle w:val="5"/>
              <w:adjustRightInd w:val="0"/>
              <w:snapToGrid w:val="0"/>
              <w:spacing w:after="0" w:line="320" w:lineRule="exact"/>
              <w:jc w:val="center"/>
              <w:rPr>
                <w:rFonts w:hint="default" w:ascii="Times New Roman" w:hAnsi="Times New Roman" w:cs="Times New Roman"/>
                <w:bCs/>
                <w:color w:val="000000"/>
                <w:sz w:val="24"/>
              </w:rPr>
            </w:pPr>
          </w:p>
        </w:tc>
        <w:tc>
          <w:tcPr>
            <w:tcW w:w="1457" w:type="dxa"/>
            <w:vAlign w:val="center"/>
          </w:tcPr>
          <w:p w14:paraId="444C95E6">
            <w:pPr>
              <w:pStyle w:val="5"/>
              <w:adjustRightInd w:val="0"/>
              <w:snapToGrid w:val="0"/>
              <w:spacing w:after="0" w:line="320" w:lineRule="exact"/>
              <w:rPr>
                <w:rFonts w:hint="default" w:ascii="Times New Roman" w:hAnsi="Times New Roman" w:cs="Times New Roman"/>
                <w:bCs/>
                <w:color w:val="000000"/>
                <w:sz w:val="24"/>
              </w:rPr>
            </w:pPr>
            <w:r>
              <w:rPr>
                <w:rFonts w:hint="eastAsia" w:cs="Times New Roman"/>
                <w:bCs/>
                <w:color w:val="000000"/>
                <w:sz w:val="24"/>
                <w:lang w:val="en-US" w:eastAsia="zh-CN"/>
              </w:rPr>
              <w:t>5.</w:t>
            </w:r>
            <w:r>
              <w:rPr>
                <w:rFonts w:hint="default" w:ascii="Times New Roman" w:hAnsi="Times New Roman" w:cs="Times New Roman"/>
                <w:bCs/>
                <w:color w:val="000000"/>
                <w:sz w:val="24"/>
              </w:rPr>
              <w:t>东莞顺晟电脑实业有限公司（“</w:t>
            </w:r>
            <w:r>
              <w:rPr>
                <w:rFonts w:hint="default" w:ascii="Times New Roman" w:hAnsi="Times New Roman" w:cs="Times New Roman"/>
                <w:b/>
                <w:bCs w:val="0"/>
                <w:color w:val="000000"/>
                <w:sz w:val="24"/>
              </w:rPr>
              <w:t>东莞顺晟</w:t>
            </w:r>
            <w:r>
              <w:rPr>
                <w:rFonts w:hint="default" w:ascii="Times New Roman" w:hAnsi="Times New Roman" w:cs="Times New Roman"/>
                <w:bCs/>
                <w:color w:val="000000"/>
                <w:sz w:val="24"/>
              </w:rPr>
              <w:t>”）</w:t>
            </w:r>
          </w:p>
        </w:tc>
        <w:tc>
          <w:tcPr>
            <w:tcW w:w="6243" w:type="dxa"/>
            <w:vAlign w:val="center"/>
          </w:tcPr>
          <w:p w14:paraId="4F47F133">
            <w:pPr>
              <w:adjustRightInd w:val="0"/>
              <w:snapToGrid w:val="0"/>
              <w:spacing w:after="0" w:line="320" w:lineRule="exact"/>
              <w:ind w:firstLine="480" w:firstLineChars="200"/>
              <w:rPr>
                <w:rFonts w:hint="default" w:ascii="Times New Roman" w:hAnsi="Times New Roman" w:cs="Times New Roman"/>
                <w:sz w:val="24"/>
              </w:rPr>
            </w:pPr>
            <w:r>
              <w:rPr>
                <w:rFonts w:hint="default" w:ascii="Times New Roman" w:hAnsi="Times New Roman" w:cs="Times New Roman"/>
                <w:sz w:val="24"/>
              </w:rPr>
              <w:t>东莞顺晟于2003年12月31日成立于东莞市，主要业务为通用仓库开发与租赁业务。</w:t>
            </w:r>
          </w:p>
          <w:p w14:paraId="0E7EED62">
            <w:pPr>
              <w:adjustRightInd w:val="0"/>
              <w:snapToGrid w:val="0"/>
              <w:spacing w:after="0" w:line="320" w:lineRule="exact"/>
              <w:ind w:firstLine="480" w:firstLineChars="200"/>
              <w:rPr>
                <w:rFonts w:hint="default" w:ascii="Times New Roman" w:hAnsi="Times New Roman" w:cs="Times New Roman"/>
                <w:sz w:val="24"/>
              </w:rPr>
            </w:pPr>
            <w:r>
              <w:rPr>
                <w:rFonts w:hint="default" w:ascii="Times New Roman" w:hAnsi="Times New Roman" w:cs="Times New Roman"/>
                <w:sz w:val="24"/>
              </w:rPr>
              <w:t>东莞顺晟的最终控制人为自然人，主要业务为通用仓库开发与租赁等业务。</w:t>
            </w:r>
          </w:p>
        </w:tc>
      </w:tr>
      <w:tr w14:paraId="13B97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jc w:val="center"/>
        </w:trPr>
        <w:tc>
          <w:tcPr>
            <w:tcW w:w="1940" w:type="dxa"/>
            <w:vMerge w:val="continue"/>
            <w:shd w:val="clear" w:color="auto" w:fill="D9D9D9"/>
            <w:vAlign w:val="center"/>
          </w:tcPr>
          <w:p w14:paraId="4D6F5476">
            <w:pPr>
              <w:pStyle w:val="5"/>
              <w:adjustRightInd w:val="0"/>
              <w:snapToGrid w:val="0"/>
              <w:spacing w:after="0" w:line="320" w:lineRule="exact"/>
              <w:jc w:val="center"/>
              <w:rPr>
                <w:rFonts w:hint="default" w:ascii="Times New Roman" w:hAnsi="Times New Roman" w:cs="Times New Roman"/>
                <w:bCs/>
                <w:color w:val="000000"/>
                <w:sz w:val="24"/>
              </w:rPr>
            </w:pPr>
          </w:p>
        </w:tc>
        <w:tc>
          <w:tcPr>
            <w:tcW w:w="1457" w:type="dxa"/>
            <w:vAlign w:val="center"/>
          </w:tcPr>
          <w:p w14:paraId="32A86508">
            <w:pPr>
              <w:pStyle w:val="5"/>
              <w:adjustRightInd w:val="0"/>
              <w:snapToGrid w:val="0"/>
              <w:spacing w:after="0" w:line="320" w:lineRule="exact"/>
              <w:rPr>
                <w:rFonts w:hint="default" w:ascii="Times New Roman" w:hAnsi="Times New Roman" w:cs="Times New Roman"/>
                <w:bCs/>
                <w:color w:val="000000"/>
                <w:sz w:val="24"/>
              </w:rPr>
            </w:pPr>
            <w:r>
              <w:rPr>
                <w:rFonts w:hint="eastAsia" w:cs="Times New Roman"/>
                <w:bCs/>
                <w:color w:val="000000"/>
                <w:sz w:val="24"/>
                <w:lang w:val="en-US" w:eastAsia="zh-CN"/>
              </w:rPr>
              <w:t>6.</w:t>
            </w:r>
            <w:r>
              <w:rPr>
                <w:rFonts w:hint="default" w:ascii="Times New Roman" w:hAnsi="Times New Roman" w:cs="Times New Roman"/>
                <w:bCs/>
                <w:color w:val="000000"/>
                <w:sz w:val="24"/>
              </w:rPr>
              <w:t>苏州苏宁易购采购有限公司（“</w:t>
            </w:r>
            <w:r>
              <w:rPr>
                <w:rFonts w:hint="default" w:ascii="Times New Roman" w:hAnsi="Times New Roman" w:cs="Times New Roman"/>
                <w:b/>
                <w:bCs w:val="0"/>
                <w:color w:val="000000"/>
                <w:sz w:val="24"/>
              </w:rPr>
              <w:t>苏州苏宁</w:t>
            </w:r>
            <w:r>
              <w:rPr>
                <w:rFonts w:hint="default" w:ascii="Times New Roman" w:hAnsi="Times New Roman" w:cs="Times New Roman"/>
                <w:bCs/>
                <w:color w:val="000000"/>
                <w:sz w:val="24"/>
              </w:rPr>
              <w:t>”）</w:t>
            </w:r>
          </w:p>
        </w:tc>
        <w:tc>
          <w:tcPr>
            <w:tcW w:w="6243" w:type="dxa"/>
            <w:vAlign w:val="center"/>
          </w:tcPr>
          <w:p w14:paraId="3BF4276C">
            <w:pPr>
              <w:adjustRightInd w:val="0"/>
              <w:snapToGrid w:val="0"/>
              <w:spacing w:after="0" w:line="320" w:lineRule="exact"/>
              <w:ind w:firstLine="480" w:firstLineChars="200"/>
              <w:rPr>
                <w:rFonts w:hint="default" w:ascii="Times New Roman" w:hAnsi="Times New Roman" w:cs="Times New Roman"/>
                <w:sz w:val="24"/>
              </w:rPr>
            </w:pPr>
            <w:r>
              <w:rPr>
                <w:rFonts w:hint="default" w:ascii="Times New Roman" w:hAnsi="Times New Roman" w:cs="Times New Roman"/>
                <w:sz w:val="24"/>
              </w:rPr>
              <w:t>苏州苏宁于2012年3月13日成立于苏州市，主要业务为通用仓库开发与租赁业务。</w:t>
            </w:r>
          </w:p>
          <w:p w14:paraId="16A76F43">
            <w:pPr>
              <w:adjustRightInd w:val="0"/>
              <w:snapToGrid w:val="0"/>
              <w:spacing w:after="0" w:line="320" w:lineRule="exact"/>
              <w:ind w:firstLine="480" w:firstLineChars="200"/>
              <w:rPr>
                <w:rFonts w:hint="default" w:ascii="Times New Roman" w:hAnsi="Times New Roman" w:cs="Times New Roman"/>
                <w:sz w:val="24"/>
              </w:rPr>
            </w:pPr>
            <w:r>
              <w:rPr>
                <w:rFonts w:hint="default" w:ascii="Times New Roman" w:hAnsi="Times New Roman" w:cs="Times New Roman"/>
                <w:sz w:val="24"/>
              </w:rPr>
              <w:t>苏州苏宁的最终控制人为苏宁易购集团股份有限公司，从事商品零售等业务。</w:t>
            </w:r>
          </w:p>
        </w:tc>
      </w:tr>
      <w:tr w14:paraId="53716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jc w:val="center"/>
        </w:trPr>
        <w:tc>
          <w:tcPr>
            <w:tcW w:w="1940" w:type="dxa"/>
            <w:vMerge w:val="continue"/>
            <w:shd w:val="clear" w:color="auto" w:fill="D9D9D9"/>
            <w:vAlign w:val="center"/>
          </w:tcPr>
          <w:p w14:paraId="472780E8">
            <w:pPr>
              <w:pStyle w:val="5"/>
              <w:adjustRightInd w:val="0"/>
              <w:snapToGrid w:val="0"/>
              <w:spacing w:after="0" w:line="320" w:lineRule="exact"/>
              <w:jc w:val="center"/>
              <w:rPr>
                <w:rFonts w:hint="default" w:ascii="Times New Roman" w:hAnsi="Times New Roman" w:cs="Times New Roman"/>
                <w:bCs/>
                <w:color w:val="000000"/>
                <w:sz w:val="24"/>
              </w:rPr>
            </w:pPr>
          </w:p>
        </w:tc>
        <w:tc>
          <w:tcPr>
            <w:tcW w:w="1457" w:type="dxa"/>
            <w:vAlign w:val="center"/>
          </w:tcPr>
          <w:p w14:paraId="76E7877F">
            <w:pPr>
              <w:pStyle w:val="5"/>
              <w:adjustRightInd w:val="0"/>
              <w:snapToGrid w:val="0"/>
              <w:spacing w:after="0" w:line="320" w:lineRule="exact"/>
              <w:rPr>
                <w:rFonts w:hint="default" w:ascii="Times New Roman" w:hAnsi="Times New Roman" w:cs="Times New Roman"/>
                <w:bCs/>
                <w:color w:val="000000"/>
                <w:sz w:val="24"/>
              </w:rPr>
            </w:pPr>
            <w:r>
              <w:rPr>
                <w:rFonts w:hint="eastAsia" w:cs="Times New Roman"/>
                <w:bCs/>
                <w:color w:val="000000"/>
                <w:sz w:val="24"/>
                <w:lang w:val="en-US" w:eastAsia="zh-CN"/>
              </w:rPr>
              <w:t>7.</w:t>
            </w:r>
            <w:r>
              <w:rPr>
                <w:rFonts w:hint="default" w:ascii="Times New Roman" w:hAnsi="Times New Roman" w:cs="Times New Roman"/>
                <w:bCs/>
                <w:color w:val="000000"/>
                <w:sz w:val="24"/>
              </w:rPr>
              <w:t>绍兴苏宁易达物流投资有限公司（“</w:t>
            </w:r>
            <w:r>
              <w:rPr>
                <w:rFonts w:hint="default" w:ascii="Times New Roman" w:hAnsi="Times New Roman" w:cs="Times New Roman"/>
                <w:b/>
                <w:bCs w:val="0"/>
                <w:color w:val="000000"/>
                <w:sz w:val="24"/>
              </w:rPr>
              <w:t>绍兴苏宁</w:t>
            </w:r>
            <w:r>
              <w:rPr>
                <w:rFonts w:hint="default" w:ascii="Times New Roman" w:hAnsi="Times New Roman" w:cs="Times New Roman"/>
                <w:bCs/>
                <w:color w:val="000000"/>
                <w:sz w:val="24"/>
              </w:rPr>
              <w:t>”）</w:t>
            </w:r>
          </w:p>
        </w:tc>
        <w:tc>
          <w:tcPr>
            <w:tcW w:w="6243" w:type="dxa"/>
            <w:vAlign w:val="center"/>
          </w:tcPr>
          <w:p w14:paraId="5571760A">
            <w:pPr>
              <w:adjustRightInd w:val="0"/>
              <w:snapToGrid w:val="0"/>
              <w:spacing w:after="0" w:line="320" w:lineRule="exact"/>
              <w:ind w:firstLine="480" w:firstLineChars="200"/>
              <w:rPr>
                <w:rFonts w:hint="default" w:ascii="Times New Roman" w:hAnsi="Times New Roman" w:cs="Times New Roman"/>
                <w:sz w:val="24"/>
              </w:rPr>
            </w:pPr>
            <w:r>
              <w:rPr>
                <w:rFonts w:hint="default" w:ascii="Times New Roman" w:hAnsi="Times New Roman" w:cs="Times New Roman"/>
                <w:sz w:val="24"/>
              </w:rPr>
              <w:t>绍兴苏宁于2014年7月1日成立于绍兴市，主要业务为通用仓库开发与租赁业务。</w:t>
            </w:r>
          </w:p>
          <w:p w14:paraId="2957F8CA">
            <w:pPr>
              <w:adjustRightInd w:val="0"/>
              <w:snapToGrid w:val="0"/>
              <w:spacing w:after="0" w:line="320" w:lineRule="exact"/>
              <w:ind w:firstLine="480" w:firstLineChars="200"/>
              <w:rPr>
                <w:rFonts w:hint="default" w:ascii="Times New Roman" w:hAnsi="Times New Roman" w:cs="Times New Roman"/>
                <w:sz w:val="24"/>
              </w:rPr>
            </w:pPr>
            <w:r>
              <w:rPr>
                <w:rFonts w:hint="default" w:ascii="Times New Roman" w:hAnsi="Times New Roman" w:cs="Times New Roman"/>
                <w:sz w:val="24"/>
              </w:rPr>
              <w:t>绍兴苏宁的最终控制人为中国中信集团有限公司，主要从事综合金融服务、先进智造、先进材料、新消费和新型城镇化等。</w:t>
            </w:r>
          </w:p>
        </w:tc>
      </w:tr>
      <w:tr w14:paraId="2688E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1940" w:type="dxa"/>
            <w:vMerge w:val="restart"/>
            <w:shd w:val="clear" w:color="auto" w:fill="D9D9D9"/>
            <w:vAlign w:val="center"/>
          </w:tcPr>
          <w:p w14:paraId="11440118">
            <w:pPr>
              <w:pStyle w:val="5"/>
              <w:adjustRightInd w:val="0"/>
              <w:snapToGrid w:val="0"/>
              <w:spacing w:after="0" w:line="320" w:lineRule="exact"/>
              <w:jc w:val="center"/>
              <w:rPr>
                <w:rFonts w:hint="default" w:ascii="Times New Roman" w:hAnsi="Times New Roman" w:cs="Times New Roman"/>
                <w:bCs/>
                <w:color w:val="000000"/>
                <w:sz w:val="24"/>
              </w:rPr>
            </w:pPr>
            <w:r>
              <w:rPr>
                <w:rFonts w:hint="default" w:ascii="Times New Roman" w:hAnsi="Times New Roman" w:cs="Times New Roman"/>
                <w:bCs/>
                <w:color w:val="000000"/>
                <w:sz w:val="24"/>
              </w:rPr>
              <w:t>简易案件理由（可以单选，也可以多选）</w:t>
            </w:r>
          </w:p>
        </w:tc>
        <w:tc>
          <w:tcPr>
            <w:tcW w:w="7700" w:type="dxa"/>
            <w:gridSpan w:val="2"/>
            <w:vAlign w:val="center"/>
          </w:tcPr>
          <w:p w14:paraId="320DAC43">
            <w:pPr>
              <w:pStyle w:val="5"/>
              <w:adjustRightInd w:val="0"/>
              <w:snapToGrid w:val="0"/>
              <w:spacing w:after="0" w:line="320" w:lineRule="exact"/>
              <w:rPr>
                <w:rFonts w:hint="default" w:ascii="Times New Roman" w:hAnsi="Times New Roman" w:cs="Times New Roman"/>
                <w:bCs/>
                <w:color w:val="000000"/>
                <w:sz w:val="24"/>
                <w:highlight w:val="cyan"/>
              </w:rPr>
            </w:pPr>
            <w:r>
              <w:rPr>
                <w:rFonts w:hint="default" w:ascii="Times New Roman" w:hAnsi="Times New Roman" w:cs="Times New Roman"/>
                <w:bCs/>
                <w:color w:val="000000"/>
                <w:sz w:val="24"/>
              </w:rPr>
              <w:sym w:font="Wingdings" w:char="00A8"/>
            </w:r>
            <w:r>
              <w:rPr>
                <w:rFonts w:hint="default" w:ascii="Times New Roman" w:hAnsi="Times New Roman" w:cs="Times New Roman"/>
                <w:bCs/>
                <w:color w:val="000000"/>
                <w:sz w:val="24"/>
              </w:rPr>
              <w:t xml:space="preserve"> 1.在同一相关市场，参与集中的经营者所占市场份额之和小于15%。</w:t>
            </w:r>
          </w:p>
        </w:tc>
      </w:tr>
      <w:tr w14:paraId="6DE7A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1940" w:type="dxa"/>
            <w:vMerge w:val="continue"/>
            <w:shd w:val="clear" w:color="auto" w:fill="D9D9D9"/>
            <w:vAlign w:val="center"/>
          </w:tcPr>
          <w:p w14:paraId="60F3904E">
            <w:pPr>
              <w:pStyle w:val="5"/>
              <w:adjustRightInd w:val="0"/>
              <w:snapToGrid w:val="0"/>
              <w:spacing w:after="0" w:line="320" w:lineRule="exact"/>
              <w:jc w:val="center"/>
              <w:rPr>
                <w:rFonts w:hint="default" w:ascii="Times New Roman" w:hAnsi="Times New Roman" w:cs="Times New Roman"/>
                <w:bCs/>
                <w:color w:val="000000"/>
                <w:sz w:val="24"/>
              </w:rPr>
            </w:pPr>
          </w:p>
        </w:tc>
        <w:tc>
          <w:tcPr>
            <w:tcW w:w="7700" w:type="dxa"/>
            <w:gridSpan w:val="2"/>
            <w:vAlign w:val="center"/>
          </w:tcPr>
          <w:p w14:paraId="5B036A8A">
            <w:pPr>
              <w:pStyle w:val="5"/>
              <w:adjustRightInd w:val="0"/>
              <w:snapToGrid w:val="0"/>
              <w:spacing w:after="0" w:line="320" w:lineRule="exact"/>
              <w:rPr>
                <w:rFonts w:hint="default" w:ascii="Times New Roman" w:hAnsi="Times New Roman" w:cs="Times New Roman"/>
                <w:bCs/>
                <w:color w:val="000000"/>
                <w:sz w:val="24"/>
              </w:rPr>
            </w:pPr>
            <w:r>
              <w:rPr>
                <w:rFonts w:hint="default" w:ascii="Times New Roman" w:hAnsi="Times New Roman" w:cs="Times New Roman"/>
                <w:bCs/>
                <w:color w:val="000000"/>
                <w:sz w:val="24"/>
              </w:rPr>
              <w:sym w:font="Wingdings" w:char="00A8"/>
            </w:r>
            <w:r>
              <w:rPr>
                <w:rFonts w:hint="default" w:ascii="Times New Roman" w:hAnsi="Times New Roman" w:cs="Times New Roman"/>
                <w:bCs/>
                <w:color w:val="000000"/>
                <w:sz w:val="24"/>
              </w:rPr>
              <w:t xml:space="preserve"> 2.在上下游市场，参与集中的经营者所占的市场份额均小于25%。</w:t>
            </w:r>
          </w:p>
        </w:tc>
      </w:tr>
      <w:tr w14:paraId="5E39A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6" w:hRule="atLeast"/>
          <w:jc w:val="center"/>
        </w:trPr>
        <w:tc>
          <w:tcPr>
            <w:tcW w:w="1940" w:type="dxa"/>
            <w:vMerge w:val="continue"/>
            <w:shd w:val="clear" w:color="auto" w:fill="D9D9D9"/>
            <w:vAlign w:val="center"/>
          </w:tcPr>
          <w:p w14:paraId="79140851">
            <w:pPr>
              <w:pStyle w:val="5"/>
              <w:adjustRightInd w:val="0"/>
              <w:snapToGrid w:val="0"/>
              <w:spacing w:after="0" w:line="320" w:lineRule="exact"/>
              <w:jc w:val="center"/>
              <w:rPr>
                <w:rFonts w:hint="default" w:ascii="Times New Roman" w:hAnsi="Times New Roman" w:cs="Times New Roman"/>
                <w:bCs/>
                <w:color w:val="000000"/>
                <w:sz w:val="24"/>
              </w:rPr>
            </w:pPr>
          </w:p>
        </w:tc>
        <w:tc>
          <w:tcPr>
            <w:tcW w:w="7700" w:type="dxa"/>
            <w:gridSpan w:val="2"/>
            <w:vAlign w:val="center"/>
          </w:tcPr>
          <w:p w14:paraId="524D9FD0">
            <w:pPr>
              <w:pStyle w:val="5"/>
              <w:adjustRightInd w:val="0"/>
              <w:snapToGrid w:val="0"/>
              <w:spacing w:after="0" w:line="320" w:lineRule="exact"/>
              <w:rPr>
                <w:rFonts w:hint="default" w:ascii="Times New Roman" w:hAnsi="Times New Roman" w:cs="Times New Roman"/>
                <w:bCs/>
                <w:color w:val="000000"/>
                <w:sz w:val="24"/>
              </w:rPr>
            </w:pPr>
            <w:r>
              <w:rPr>
                <w:rFonts w:hint="default" w:ascii="Times New Roman" w:hAnsi="Times New Roman" w:cs="Times New Roman"/>
                <w:bCs/>
                <w:color w:val="000000"/>
                <w:sz w:val="24"/>
              </w:rPr>
              <w:sym w:font="Wingdings" w:char="00FE"/>
            </w:r>
            <w:r>
              <w:rPr>
                <w:rFonts w:hint="default" w:ascii="Times New Roman" w:hAnsi="Times New Roman" w:cs="Times New Roman"/>
                <w:bCs/>
                <w:color w:val="000000"/>
                <w:sz w:val="24"/>
              </w:rPr>
              <w:t xml:space="preserve"> 3.不在同一相关市场也不存在上下游关系的参与集中的经营者，在与交易有关的每个市场所占的份额均小于25%。</w:t>
            </w:r>
          </w:p>
        </w:tc>
      </w:tr>
      <w:tr w14:paraId="518BD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6" w:hRule="atLeast"/>
          <w:jc w:val="center"/>
        </w:trPr>
        <w:tc>
          <w:tcPr>
            <w:tcW w:w="1940" w:type="dxa"/>
            <w:vMerge w:val="continue"/>
            <w:shd w:val="clear" w:color="auto" w:fill="D9D9D9"/>
            <w:vAlign w:val="center"/>
          </w:tcPr>
          <w:p w14:paraId="7BD034CD">
            <w:pPr>
              <w:pStyle w:val="5"/>
              <w:adjustRightInd w:val="0"/>
              <w:snapToGrid w:val="0"/>
              <w:spacing w:after="0" w:line="320" w:lineRule="exact"/>
              <w:jc w:val="center"/>
              <w:rPr>
                <w:rFonts w:hint="default" w:ascii="Times New Roman" w:hAnsi="Times New Roman" w:cs="Times New Roman"/>
                <w:bCs/>
                <w:color w:val="000000"/>
                <w:sz w:val="24"/>
              </w:rPr>
            </w:pPr>
          </w:p>
        </w:tc>
        <w:tc>
          <w:tcPr>
            <w:tcW w:w="7700" w:type="dxa"/>
            <w:gridSpan w:val="2"/>
            <w:vAlign w:val="center"/>
          </w:tcPr>
          <w:p w14:paraId="226D115F">
            <w:pPr>
              <w:pStyle w:val="5"/>
              <w:adjustRightInd w:val="0"/>
              <w:snapToGrid w:val="0"/>
              <w:spacing w:after="0" w:line="320" w:lineRule="exact"/>
              <w:rPr>
                <w:rFonts w:hint="default" w:ascii="Times New Roman" w:hAnsi="Times New Roman" w:cs="Times New Roman"/>
                <w:bCs/>
                <w:color w:val="000000"/>
                <w:sz w:val="24"/>
              </w:rPr>
            </w:pPr>
            <w:r>
              <w:rPr>
                <w:rFonts w:hint="default" w:ascii="Times New Roman" w:hAnsi="Times New Roman" w:cs="Times New Roman"/>
                <w:bCs/>
                <w:color w:val="000000"/>
                <w:sz w:val="24"/>
              </w:rPr>
              <w:sym w:font="Wingdings" w:char="00A8"/>
            </w:r>
            <w:r>
              <w:rPr>
                <w:rFonts w:hint="default" w:ascii="Times New Roman" w:hAnsi="Times New Roman" w:cs="Times New Roman"/>
                <w:bCs/>
                <w:color w:val="000000"/>
                <w:sz w:val="24"/>
              </w:rPr>
              <w:t xml:space="preserve"> 4.参与集中的经营者在中国境外设立合营企业，合营企业不在中国境内从事经济活动。</w:t>
            </w:r>
          </w:p>
        </w:tc>
      </w:tr>
      <w:tr w14:paraId="7CC93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6" w:hRule="atLeast"/>
          <w:jc w:val="center"/>
        </w:trPr>
        <w:tc>
          <w:tcPr>
            <w:tcW w:w="1940" w:type="dxa"/>
            <w:vMerge w:val="continue"/>
            <w:shd w:val="clear" w:color="auto" w:fill="D9D9D9"/>
            <w:vAlign w:val="center"/>
          </w:tcPr>
          <w:p w14:paraId="254326FF">
            <w:pPr>
              <w:pStyle w:val="5"/>
              <w:adjustRightInd w:val="0"/>
              <w:snapToGrid w:val="0"/>
              <w:spacing w:after="0" w:line="320" w:lineRule="exact"/>
              <w:jc w:val="center"/>
              <w:rPr>
                <w:rFonts w:hint="default" w:ascii="Times New Roman" w:hAnsi="Times New Roman" w:cs="Times New Roman"/>
                <w:bCs/>
                <w:color w:val="000000"/>
                <w:sz w:val="24"/>
              </w:rPr>
            </w:pPr>
          </w:p>
        </w:tc>
        <w:tc>
          <w:tcPr>
            <w:tcW w:w="7700" w:type="dxa"/>
            <w:gridSpan w:val="2"/>
            <w:vAlign w:val="center"/>
          </w:tcPr>
          <w:p w14:paraId="4039F0C1">
            <w:pPr>
              <w:pStyle w:val="5"/>
              <w:adjustRightInd w:val="0"/>
              <w:snapToGrid w:val="0"/>
              <w:spacing w:after="0" w:line="320" w:lineRule="exact"/>
              <w:rPr>
                <w:rFonts w:hint="default" w:ascii="Times New Roman" w:hAnsi="Times New Roman" w:cs="Times New Roman"/>
                <w:bCs/>
                <w:color w:val="000000"/>
                <w:sz w:val="24"/>
              </w:rPr>
            </w:pPr>
            <w:r>
              <w:rPr>
                <w:rFonts w:hint="default" w:ascii="Times New Roman" w:hAnsi="Times New Roman" w:cs="Times New Roman"/>
                <w:bCs/>
                <w:color w:val="000000"/>
                <w:sz w:val="24"/>
              </w:rPr>
              <w:sym w:font="Wingdings" w:char="00A8"/>
            </w:r>
            <w:r>
              <w:rPr>
                <w:rFonts w:hint="default" w:ascii="Times New Roman" w:hAnsi="Times New Roman" w:cs="Times New Roman"/>
                <w:bCs/>
                <w:color w:val="000000"/>
                <w:sz w:val="24"/>
              </w:rPr>
              <w:t xml:space="preserve"> 5.参与集中的经营者收购境外企业股权或资产的，该境外企业不在中国境内从事经济活动。</w:t>
            </w:r>
          </w:p>
        </w:tc>
      </w:tr>
      <w:tr w14:paraId="158BD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6" w:hRule="atLeast"/>
          <w:jc w:val="center"/>
        </w:trPr>
        <w:tc>
          <w:tcPr>
            <w:tcW w:w="1940" w:type="dxa"/>
            <w:vMerge w:val="continue"/>
            <w:shd w:val="clear" w:color="auto" w:fill="D9D9D9"/>
            <w:vAlign w:val="center"/>
          </w:tcPr>
          <w:p w14:paraId="395127A0">
            <w:pPr>
              <w:pStyle w:val="5"/>
              <w:adjustRightInd w:val="0"/>
              <w:snapToGrid w:val="0"/>
              <w:spacing w:after="0" w:line="320" w:lineRule="exact"/>
              <w:jc w:val="center"/>
              <w:rPr>
                <w:rFonts w:hint="default" w:ascii="Times New Roman" w:hAnsi="Times New Roman" w:cs="Times New Roman"/>
                <w:bCs/>
                <w:color w:val="000000"/>
                <w:sz w:val="24"/>
              </w:rPr>
            </w:pPr>
          </w:p>
        </w:tc>
        <w:tc>
          <w:tcPr>
            <w:tcW w:w="7700" w:type="dxa"/>
            <w:gridSpan w:val="2"/>
            <w:vAlign w:val="center"/>
          </w:tcPr>
          <w:p w14:paraId="5D64445E">
            <w:pPr>
              <w:pStyle w:val="5"/>
              <w:adjustRightInd w:val="0"/>
              <w:snapToGrid w:val="0"/>
              <w:spacing w:after="0" w:line="320" w:lineRule="exact"/>
              <w:rPr>
                <w:rFonts w:hint="default" w:ascii="Times New Roman" w:hAnsi="Times New Roman" w:cs="Times New Roman"/>
                <w:bCs/>
                <w:color w:val="000000"/>
                <w:sz w:val="24"/>
              </w:rPr>
            </w:pPr>
            <w:r>
              <w:rPr>
                <w:rFonts w:hint="default" w:ascii="Times New Roman" w:hAnsi="Times New Roman" w:cs="Times New Roman"/>
                <w:bCs/>
                <w:color w:val="000000"/>
                <w:sz w:val="24"/>
              </w:rPr>
              <w:sym w:font="Wingdings" w:char="00A8"/>
            </w:r>
            <w:r>
              <w:rPr>
                <w:rFonts w:hint="default" w:ascii="Times New Roman" w:hAnsi="Times New Roman" w:cs="Times New Roman"/>
                <w:bCs/>
                <w:color w:val="000000"/>
                <w:sz w:val="24"/>
              </w:rPr>
              <w:t xml:space="preserve"> 6.由两个以上的经营者共同控制的合营企业，通过集中被其中一个或一个以上经营者控制。</w:t>
            </w:r>
          </w:p>
        </w:tc>
      </w:tr>
      <w:tr w14:paraId="73A57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0" w:hRule="atLeast"/>
          <w:jc w:val="center"/>
        </w:trPr>
        <w:tc>
          <w:tcPr>
            <w:tcW w:w="1940" w:type="dxa"/>
            <w:shd w:val="clear" w:color="auto" w:fill="D9D9D9"/>
            <w:vAlign w:val="center"/>
          </w:tcPr>
          <w:p w14:paraId="0CB13983">
            <w:pPr>
              <w:pStyle w:val="5"/>
              <w:adjustRightInd w:val="0"/>
              <w:snapToGrid w:val="0"/>
              <w:spacing w:after="0" w:line="320" w:lineRule="exact"/>
              <w:jc w:val="center"/>
              <w:rPr>
                <w:rFonts w:hint="default" w:ascii="Times New Roman" w:hAnsi="Times New Roman" w:cs="Times New Roman"/>
                <w:bCs/>
                <w:color w:val="000000"/>
                <w:sz w:val="24"/>
              </w:rPr>
            </w:pPr>
            <w:r>
              <w:rPr>
                <w:rFonts w:hint="default" w:ascii="Times New Roman" w:hAnsi="Times New Roman" w:cs="Times New Roman"/>
                <w:bCs/>
                <w:color w:val="000000"/>
                <w:sz w:val="24"/>
              </w:rPr>
              <w:t>备注</w:t>
            </w:r>
          </w:p>
        </w:tc>
        <w:tc>
          <w:tcPr>
            <w:tcW w:w="7700" w:type="dxa"/>
            <w:gridSpan w:val="2"/>
            <w:vAlign w:val="center"/>
          </w:tcPr>
          <w:p w14:paraId="6323A61E">
            <w:pPr>
              <w:pStyle w:val="5"/>
              <w:adjustRightInd w:val="0"/>
              <w:snapToGrid w:val="0"/>
              <w:spacing w:after="0" w:line="320" w:lineRule="exact"/>
              <w:rPr>
                <w:rFonts w:hint="default" w:ascii="Times New Roman" w:hAnsi="Times New Roman" w:cs="Times New Roman"/>
                <w:b/>
                <w:color w:val="000000"/>
                <w:sz w:val="24"/>
              </w:rPr>
            </w:pPr>
            <w:r>
              <w:rPr>
                <w:rFonts w:hint="default" w:ascii="Times New Roman" w:hAnsi="Times New Roman" w:cs="Times New Roman"/>
                <w:b/>
                <w:color w:val="000000"/>
                <w:sz w:val="24"/>
              </w:rPr>
              <w:t>混合集中：</w:t>
            </w:r>
          </w:p>
          <w:tbl>
            <w:tblPr>
              <w:tblStyle w:val="10"/>
              <w:tblW w:w="684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38"/>
              <w:gridCol w:w="2268"/>
              <w:gridCol w:w="1843"/>
            </w:tblGrid>
            <w:tr w14:paraId="70A833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2738" w:type="dxa"/>
                  <w:shd w:val="clear" w:color="auto" w:fill="BFBFBF"/>
                  <w:noWrap w:val="0"/>
                  <w:vAlign w:val="center"/>
                </w:tcPr>
                <w:p w14:paraId="3163BBD0">
                  <w:pPr>
                    <w:pStyle w:val="5"/>
                    <w:adjustRightInd w:val="0"/>
                    <w:snapToGrid w:val="0"/>
                    <w:spacing w:after="0"/>
                    <w:jc w:val="center"/>
                    <w:rPr>
                      <w:rFonts w:hint="eastAsia" w:ascii="宋体" w:hAnsi="宋体" w:cs="宋体"/>
                      <w:b/>
                      <w:color w:val="000000"/>
                      <w:sz w:val="24"/>
                      <w:szCs w:val="24"/>
                      <w:lang w:val="en-US" w:eastAsia="zh-CN"/>
                    </w:rPr>
                  </w:pPr>
                  <w:r>
                    <w:rPr>
                      <w:rFonts w:hint="eastAsia" w:ascii="宋体" w:hAnsi="宋体" w:cs="宋体"/>
                      <w:b/>
                      <w:color w:val="000000"/>
                      <w:sz w:val="24"/>
                      <w:szCs w:val="24"/>
                      <w:lang w:val="en-US" w:eastAsia="zh-CN"/>
                    </w:rPr>
                    <w:t>相关商品市场</w:t>
                  </w:r>
                </w:p>
              </w:tc>
              <w:tc>
                <w:tcPr>
                  <w:tcW w:w="2268" w:type="dxa"/>
                  <w:shd w:val="clear" w:color="auto" w:fill="BFBFBF"/>
                  <w:noWrap w:val="0"/>
                  <w:vAlign w:val="center"/>
                </w:tcPr>
                <w:p w14:paraId="34FBEF86">
                  <w:pPr>
                    <w:pStyle w:val="5"/>
                    <w:adjustRightInd w:val="0"/>
                    <w:snapToGrid w:val="0"/>
                    <w:spacing w:after="0"/>
                    <w:jc w:val="center"/>
                    <w:rPr>
                      <w:rFonts w:hint="eastAsia" w:ascii="宋体" w:hAnsi="宋体" w:cs="宋体"/>
                      <w:b/>
                      <w:color w:val="000000"/>
                      <w:sz w:val="24"/>
                      <w:szCs w:val="24"/>
                      <w:lang w:val="en-US" w:eastAsia="zh-CN"/>
                    </w:rPr>
                  </w:pPr>
                  <w:r>
                    <w:rPr>
                      <w:rFonts w:hint="eastAsia" w:ascii="宋体" w:hAnsi="宋体" w:cs="宋体"/>
                      <w:b/>
                      <w:color w:val="000000"/>
                      <w:sz w:val="24"/>
                      <w:szCs w:val="24"/>
                      <w:lang w:val="en-US" w:eastAsia="zh-CN"/>
                    </w:rPr>
                    <w:t>相关地域市场</w:t>
                  </w:r>
                </w:p>
              </w:tc>
              <w:tc>
                <w:tcPr>
                  <w:tcW w:w="1843" w:type="dxa"/>
                  <w:shd w:val="clear" w:color="auto" w:fill="BFBFBF"/>
                  <w:noWrap w:val="0"/>
                  <w:vAlign w:val="center"/>
                </w:tcPr>
                <w:p w14:paraId="771043F8">
                  <w:pPr>
                    <w:pStyle w:val="5"/>
                    <w:adjustRightInd w:val="0"/>
                    <w:snapToGrid w:val="0"/>
                    <w:spacing w:after="0"/>
                    <w:jc w:val="center"/>
                    <w:rPr>
                      <w:rFonts w:hint="eastAsia" w:ascii="宋体" w:hAnsi="宋体" w:cs="宋体"/>
                      <w:b/>
                      <w:color w:val="000000"/>
                      <w:sz w:val="24"/>
                      <w:szCs w:val="24"/>
                      <w:lang w:val="en-US" w:eastAsia="zh-CN"/>
                    </w:rPr>
                  </w:pPr>
                  <w:r>
                    <w:rPr>
                      <w:rFonts w:cs="Times New Roman"/>
                      <w:b/>
                      <w:color w:val="000000"/>
                      <w:sz w:val="24"/>
                      <w:szCs w:val="24"/>
                      <w:lang w:val="en-US" w:eastAsia="zh-CN"/>
                    </w:rPr>
                    <w:t>2025</w:t>
                  </w:r>
                  <w:r>
                    <w:rPr>
                      <w:rFonts w:hint="eastAsia" w:ascii="宋体" w:hAnsi="宋体" w:cs="宋体"/>
                      <w:b/>
                      <w:color w:val="000000"/>
                      <w:sz w:val="24"/>
                      <w:szCs w:val="24"/>
                      <w:lang w:val="en-US" w:eastAsia="zh-CN"/>
                    </w:rPr>
                    <w:t>年市场份额</w:t>
                  </w:r>
                </w:p>
              </w:tc>
            </w:tr>
            <w:tr w14:paraId="64F12F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2738" w:type="dxa"/>
                  <w:noWrap w:val="0"/>
                  <w:vAlign w:val="center"/>
                </w:tcPr>
                <w:p w14:paraId="1F9D661C">
                  <w:pPr>
                    <w:pStyle w:val="5"/>
                    <w:adjustRightInd w:val="0"/>
                    <w:snapToGrid w:val="0"/>
                    <w:spacing w:after="0"/>
                    <w:jc w:val="both"/>
                    <w:rPr>
                      <w:rFonts w:hint="eastAsia" w:ascii="宋体" w:hAnsi="宋体" w:cs="宋体"/>
                      <w:bCs/>
                      <w:color w:val="000000"/>
                      <w:sz w:val="24"/>
                      <w:szCs w:val="24"/>
                      <w:lang w:val="en-US" w:eastAsia="zh-CN"/>
                    </w:rPr>
                  </w:pPr>
                  <w:r>
                    <w:rPr>
                      <w:rFonts w:hint="eastAsia"/>
                      <w:sz w:val="24"/>
                      <w:szCs w:val="24"/>
                      <w:lang w:eastAsia="zh-CN"/>
                    </w:rPr>
                    <w:t>通用仓库开发与租赁市场</w:t>
                  </w:r>
                </w:p>
              </w:tc>
              <w:tc>
                <w:tcPr>
                  <w:tcW w:w="2268" w:type="dxa"/>
                  <w:noWrap w:val="0"/>
                  <w:vAlign w:val="top"/>
                </w:tcPr>
                <w:p w14:paraId="27BE4D91">
                  <w:pPr>
                    <w:pStyle w:val="5"/>
                    <w:adjustRightInd w:val="0"/>
                    <w:snapToGrid w:val="0"/>
                    <w:spacing w:after="0"/>
                    <w:rPr>
                      <w:rFonts w:hint="eastAsia" w:ascii="宋体" w:hAnsi="宋体" w:cs="宋体"/>
                      <w:bCs/>
                      <w:color w:val="000000"/>
                      <w:sz w:val="24"/>
                      <w:szCs w:val="24"/>
                      <w:lang w:val="en-US" w:eastAsia="zh-CN"/>
                    </w:rPr>
                  </w:pPr>
                  <w:r>
                    <w:rPr>
                      <w:rFonts w:hint="eastAsia"/>
                      <w:sz w:val="24"/>
                      <w:szCs w:val="24"/>
                      <w:lang w:eastAsia="zh-CN"/>
                    </w:rPr>
                    <w:t>广州市</w:t>
                  </w:r>
                </w:p>
              </w:tc>
              <w:tc>
                <w:tcPr>
                  <w:tcW w:w="1843" w:type="dxa"/>
                  <w:noWrap w:val="0"/>
                  <w:vAlign w:val="top"/>
                </w:tcPr>
                <w:p w14:paraId="1842D300">
                  <w:pPr>
                    <w:pStyle w:val="5"/>
                    <w:adjustRightInd w:val="0"/>
                    <w:snapToGrid w:val="0"/>
                    <w:spacing w:after="0"/>
                    <w:rPr>
                      <w:rFonts w:hint="eastAsia" w:ascii="宋体" w:hAnsi="宋体" w:cs="宋体"/>
                      <w:bCs/>
                      <w:color w:val="000000"/>
                      <w:sz w:val="24"/>
                      <w:szCs w:val="24"/>
                      <w:lang w:val="en-US" w:eastAsia="zh-CN"/>
                    </w:rPr>
                  </w:pPr>
                  <w:r>
                    <w:rPr>
                      <w:rFonts w:hint="eastAsia" w:ascii="宋体" w:hAnsi="宋体" w:cs="宋体"/>
                      <w:bCs/>
                      <w:color w:val="000000"/>
                      <w:sz w:val="24"/>
                      <w:szCs w:val="24"/>
                      <w:lang w:val="en-US" w:eastAsia="zh-CN"/>
                    </w:rPr>
                    <w:t>目标公司：</w:t>
                  </w:r>
                  <w:r>
                    <w:rPr>
                      <w:rFonts w:cs="Times New Roman"/>
                      <w:bCs/>
                      <w:color w:val="000000"/>
                      <w:sz w:val="24"/>
                      <w:szCs w:val="24"/>
                      <w:lang w:val="en-US" w:eastAsia="zh-CN"/>
                    </w:rPr>
                    <w:t>0-5%</w:t>
                  </w:r>
                </w:p>
              </w:tc>
            </w:tr>
            <w:tr w14:paraId="657C37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2738" w:type="dxa"/>
                  <w:noWrap w:val="0"/>
                  <w:vAlign w:val="center"/>
                </w:tcPr>
                <w:p w14:paraId="5E431155">
                  <w:pPr>
                    <w:pStyle w:val="5"/>
                    <w:adjustRightInd w:val="0"/>
                    <w:snapToGrid w:val="0"/>
                    <w:spacing w:after="0"/>
                    <w:jc w:val="both"/>
                    <w:rPr>
                      <w:rFonts w:hint="eastAsia" w:ascii="宋体" w:hAnsi="宋体" w:cs="宋体"/>
                      <w:bCs/>
                      <w:color w:val="000000"/>
                      <w:sz w:val="24"/>
                      <w:szCs w:val="24"/>
                      <w:lang w:val="en-US" w:eastAsia="zh-CN"/>
                    </w:rPr>
                  </w:pPr>
                  <w:r>
                    <w:rPr>
                      <w:rFonts w:hint="eastAsia"/>
                      <w:sz w:val="24"/>
                      <w:szCs w:val="24"/>
                      <w:lang w:eastAsia="zh-CN"/>
                    </w:rPr>
                    <w:t>通用仓库开发与租赁市场</w:t>
                  </w:r>
                </w:p>
              </w:tc>
              <w:tc>
                <w:tcPr>
                  <w:tcW w:w="2268" w:type="dxa"/>
                  <w:noWrap w:val="0"/>
                  <w:vAlign w:val="top"/>
                </w:tcPr>
                <w:p w14:paraId="082D110A">
                  <w:pPr>
                    <w:pStyle w:val="5"/>
                    <w:adjustRightInd w:val="0"/>
                    <w:snapToGrid w:val="0"/>
                    <w:spacing w:after="0"/>
                    <w:rPr>
                      <w:rFonts w:hint="eastAsia" w:ascii="宋体" w:hAnsi="宋体" w:cs="宋体"/>
                      <w:bCs/>
                      <w:color w:val="000000"/>
                      <w:sz w:val="24"/>
                      <w:szCs w:val="24"/>
                      <w:lang w:val="en-US" w:eastAsia="zh-CN"/>
                    </w:rPr>
                  </w:pPr>
                  <w:r>
                    <w:rPr>
                      <w:rFonts w:hint="eastAsia"/>
                      <w:sz w:val="24"/>
                      <w:szCs w:val="24"/>
                      <w:lang w:eastAsia="zh-CN"/>
                    </w:rPr>
                    <w:t>无锡市</w:t>
                  </w:r>
                </w:p>
              </w:tc>
              <w:tc>
                <w:tcPr>
                  <w:tcW w:w="1843" w:type="dxa"/>
                  <w:noWrap w:val="0"/>
                  <w:vAlign w:val="top"/>
                </w:tcPr>
                <w:p w14:paraId="08178642">
                  <w:pPr>
                    <w:pStyle w:val="5"/>
                    <w:adjustRightInd w:val="0"/>
                    <w:snapToGrid w:val="0"/>
                    <w:spacing w:after="0"/>
                    <w:rPr>
                      <w:rFonts w:hint="eastAsia" w:ascii="宋体" w:hAnsi="宋体" w:cs="宋体"/>
                      <w:bCs/>
                      <w:color w:val="000000"/>
                      <w:sz w:val="24"/>
                      <w:szCs w:val="24"/>
                      <w:lang w:val="en-US" w:eastAsia="zh-CN"/>
                    </w:rPr>
                  </w:pPr>
                  <w:r>
                    <w:rPr>
                      <w:rFonts w:hint="eastAsia" w:ascii="宋体" w:hAnsi="宋体" w:cs="宋体"/>
                      <w:bCs/>
                      <w:color w:val="000000"/>
                      <w:sz w:val="24"/>
                      <w:szCs w:val="24"/>
                      <w:lang w:val="en-US" w:eastAsia="zh-CN"/>
                    </w:rPr>
                    <w:t>目标公司：</w:t>
                  </w:r>
                  <w:r>
                    <w:rPr>
                      <w:rFonts w:cs="Times New Roman"/>
                      <w:bCs/>
                      <w:color w:val="000000"/>
                      <w:sz w:val="24"/>
                      <w:szCs w:val="24"/>
                      <w:lang w:val="en-US" w:eastAsia="zh-CN"/>
                    </w:rPr>
                    <w:t>0-5%</w:t>
                  </w:r>
                </w:p>
              </w:tc>
            </w:tr>
            <w:tr w14:paraId="2026DB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2738" w:type="dxa"/>
                  <w:noWrap w:val="0"/>
                  <w:vAlign w:val="center"/>
                </w:tcPr>
                <w:p w14:paraId="0A19C877">
                  <w:pPr>
                    <w:pStyle w:val="5"/>
                    <w:adjustRightInd w:val="0"/>
                    <w:snapToGrid w:val="0"/>
                    <w:spacing w:after="0"/>
                    <w:jc w:val="both"/>
                    <w:rPr>
                      <w:rFonts w:hint="eastAsia" w:ascii="宋体" w:hAnsi="宋体" w:cs="宋体"/>
                      <w:bCs/>
                      <w:color w:val="000000"/>
                      <w:sz w:val="24"/>
                      <w:szCs w:val="24"/>
                      <w:lang w:val="en-US" w:eastAsia="zh-CN"/>
                    </w:rPr>
                  </w:pPr>
                  <w:r>
                    <w:rPr>
                      <w:rFonts w:hint="eastAsia"/>
                      <w:sz w:val="24"/>
                      <w:szCs w:val="24"/>
                      <w:lang w:eastAsia="zh-CN"/>
                    </w:rPr>
                    <w:t>通用仓库开发与租赁市场</w:t>
                  </w:r>
                </w:p>
              </w:tc>
              <w:tc>
                <w:tcPr>
                  <w:tcW w:w="2268" w:type="dxa"/>
                  <w:noWrap w:val="0"/>
                  <w:vAlign w:val="top"/>
                </w:tcPr>
                <w:p w14:paraId="05B2EC6F">
                  <w:pPr>
                    <w:pStyle w:val="5"/>
                    <w:adjustRightInd w:val="0"/>
                    <w:snapToGrid w:val="0"/>
                    <w:spacing w:after="0"/>
                    <w:rPr>
                      <w:rFonts w:hint="eastAsia" w:ascii="宋体" w:hAnsi="宋体" w:cs="宋体"/>
                      <w:bCs/>
                      <w:color w:val="000000"/>
                      <w:sz w:val="24"/>
                      <w:szCs w:val="24"/>
                      <w:lang w:val="en-US" w:eastAsia="zh-CN"/>
                    </w:rPr>
                  </w:pPr>
                  <w:r>
                    <w:rPr>
                      <w:rFonts w:hint="eastAsia"/>
                      <w:sz w:val="24"/>
                      <w:szCs w:val="24"/>
                      <w:lang w:eastAsia="zh-CN"/>
                    </w:rPr>
                    <w:t>佛山市</w:t>
                  </w:r>
                </w:p>
              </w:tc>
              <w:tc>
                <w:tcPr>
                  <w:tcW w:w="1843" w:type="dxa"/>
                  <w:noWrap w:val="0"/>
                  <w:vAlign w:val="top"/>
                </w:tcPr>
                <w:p w14:paraId="6793C05A">
                  <w:pPr>
                    <w:pStyle w:val="5"/>
                    <w:adjustRightInd w:val="0"/>
                    <w:snapToGrid w:val="0"/>
                    <w:spacing w:after="0"/>
                    <w:rPr>
                      <w:rFonts w:hint="eastAsia" w:ascii="宋体" w:hAnsi="宋体" w:cs="宋体"/>
                      <w:bCs/>
                      <w:color w:val="000000"/>
                      <w:sz w:val="24"/>
                      <w:szCs w:val="24"/>
                      <w:lang w:val="en-US" w:eastAsia="zh-CN"/>
                    </w:rPr>
                  </w:pPr>
                  <w:r>
                    <w:rPr>
                      <w:rFonts w:hint="eastAsia" w:ascii="宋体" w:hAnsi="宋体" w:cs="宋体"/>
                      <w:bCs/>
                      <w:color w:val="000000"/>
                      <w:sz w:val="24"/>
                      <w:szCs w:val="24"/>
                      <w:lang w:val="en-US" w:eastAsia="zh-CN"/>
                    </w:rPr>
                    <w:t>目标公司：</w:t>
                  </w:r>
                  <w:r>
                    <w:rPr>
                      <w:rFonts w:cs="Times New Roman"/>
                      <w:bCs/>
                      <w:color w:val="000000"/>
                      <w:sz w:val="24"/>
                      <w:szCs w:val="24"/>
                      <w:lang w:val="en-US" w:eastAsia="zh-CN"/>
                    </w:rPr>
                    <w:t>0-5%</w:t>
                  </w:r>
                </w:p>
              </w:tc>
            </w:tr>
            <w:tr w14:paraId="5C34F0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2738" w:type="dxa"/>
                  <w:noWrap w:val="0"/>
                  <w:vAlign w:val="center"/>
                </w:tcPr>
                <w:p w14:paraId="335E73F3">
                  <w:pPr>
                    <w:pStyle w:val="5"/>
                    <w:adjustRightInd w:val="0"/>
                    <w:snapToGrid w:val="0"/>
                    <w:spacing w:after="0"/>
                    <w:jc w:val="both"/>
                    <w:rPr>
                      <w:rFonts w:hint="eastAsia" w:ascii="宋体" w:hAnsi="宋体" w:cs="宋体"/>
                      <w:bCs/>
                      <w:color w:val="000000"/>
                      <w:sz w:val="24"/>
                      <w:szCs w:val="24"/>
                      <w:lang w:val="en-US" w:eastAsia="zh-CN"/>
                    </w:rPr>
                  </w:pPr>
                  <w:r>
                    <w:rPr>
                      <w:rFonts w:hint="eastAsia"/>
                      <w:sz w:val="24"/>
                      <w:szCs w:val="24"/>
                      <w:lang w:eastAsia="zh-CN"/>
                    </w:rPr>
                    <w:t>通用仓库开发与租赁市场</w:t>
                  </w:r>
                </w:p>
              </w:tc>
              <w:tc>
                <w:tcPr>
                  <w:tcW w:w="2268" w:type="dxa"/>
                  <w:noWrap w:val="0"/>
                  <w:vAlign w:val="top"/>
                </w:tcPr>
                <w:p w14:paraId="75778EDD">
                  <w:pPr>
                    <w:pStyle w:val="5"/>
                    <w:adjustRightInd w:val="0"/>
                    <w:snapToGrid w:val="0"/>
                    <w:spacing w:after="0"/>
                    <w:rPr>
                      <w:rFonts w:hint="eastAsia" w:ascii="宋体" w:hAnsi="宋体" w:cs="宋体"/>
                      <w:bCs/>
                      <w:color w:val="000000"/>
                      <w:sz w:val="24"/>
                      <w:szCs w:val="24"/>
                      <w:lang w:val="en-US" w:eastAsia="zh-CN"/>
                    </w:rPr>
                  </w:pPr>
                  <w:r>
                    <w:rPr>
                      <w:rFonts w:hint="eastAsia"/>
                      <w:sz w:val="24"/>
                      <w:szCs w:val="24"/>
                      <w:lang w:eastAsia="zh-CN"/>
                    </w:rPr>
                    <w:t>宁波市</w:t>
                  </w:r>
                </w:p>
              </w:tc>
              <w:tc>
                <w:tcPr>
                  <w:tcW w:w="1843" w:type="dxa"/>
                  <w:noWrap w:val="0"/>
                  <w:vAlign w:val="top"/>
                </w:tcPr>
                <w:p w14:paraId="71574051">
                  <w:pPr>
                    <w:pStyle w:val="5"/>
                    <w:adjustRightInd w:val="0"/>
                    <w:snapToGrid w:val="0"/>
                    <w:spacing w:after="0"/>
                    <w:rPr>
                      <w:rFonts w:hint="eastAsia" w:ascii="宋体" w:hAnsi="宋体" w:cs="宋体"/>
                      <w:bCs/>
                      <w:color w:val="000000"/>
                      <w:sz w:val="24"/>
                      <w:szCs w:val="24"/>
                      <w:lang w:val="en-US" w:eastAsia="zh-CN"/>
                    </w:rPr>
                  </w:pPr>
                  <w:r>
                    <w:rPr>
                      <w:rFonts w:hint="eastAsia" w:ascii="宋体" w:hAnsi="宋体" w:cs="宋体"/>
                      <w:bCs/>
                      <w:color w:val="000000"/>
                      <w:sz w:val="24"/>
                      <w:szCs w:val="24"/>
                      <w:lang w:val="en-US" w:eastAsia="zh-CN"/>
                    </w:rPr>
                    <w:t>目标公司：</w:t>
                  </w:r>
                  <w:r>
                    <w:rPr>
                      <w:rFonts w:cs="Times New Roman"/>
                      <w:bCs/>
                      <w:color w:val="000000"/>
                      <w:sz w:val="24"/>
                      <w:szCs w:val="24"/>
                      <w:lang w:val="en-US" w:eastAsia="zh-CN"/>
                    </w:rPr>
                    <w:t>0-5%</w:t>
                  </w:r>
                </w:p>
              </w:tc>
            </w:tr>
            <w:tr w14:paraId="30C4D6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2738" w:type="dxa"/>
                  <w:noWrap w:val="0"/>
                  <w:vAlign w:val="center"/>
                </w:tcPr>
                <w:p w14:paraId="7EAD0787">
                  <w:pPr>
                    <w:pStyle w:val="5"/>
                    <w:adjustRightInd w:val="0"/>
                    <w:snapToGrid w:val="0"/>
                    <w:spacing w:after="0"/>
                    <w:jc w:val="both"/>
                    <w:rPr>
                      <w:rFonts w:hint="eastAsia" w:ascii="宋体" w:hAnsi="宋体" w:cs="宋体"/>
                      <w:bCs/>
                      <w:color w:val="000000"/>
                      <w:sz w:val="24"/>
                      <w:szCs w:val="24"/>
                      <w:lang w:val="en-US" w:eastAsia="zh-CN"/>
                    </w:rPr>
                  </w:pPr>
                  <w:r>
                    <w:rPr>
                      <w:rFonts w:hint="eastAsia"/>
                      <w:sz w:val="24"/>
                      <w:szCs w:val="24"/>
                      <w:lang w:eastAsia="zh-CN"/>
                    </w:rPr>
                    <w:t>通用仓库开发与租赁市场</w:t>
                  </w:r>
                </w:p>
              </w:tc>
              <w:tc>
                <w:tcPr>
                  <w:tcW w:w="2268" w:type="dxa"/>
                  <w:noWrap w:val="0"/>
                  <w:vAlign w:val="top"/>
                </w:tcPr>
                <w:p w14:paraId="20A051C9">
                  <w:pPr>
                    <w:pStyle w:val="5"/>
                    <w:adjustRightInd w:val="0"/>
                    <w:snapToGrid w:val="0"/>
                    <w:spacing w:after="0"/>
                    <w:rPr>
                      <w:rFonts w:hint="eastAsia" w:ascii="宋体" w:hAnsi="宋体" w:cs="宋体"/>
                      <w:bCs/>
                      <w:color w:val="000000"/>
                      <w:sz w:val="24"/>
                      <w:szCs w:val="24"/>
                      <w:lang w:val="en-US" w:eastAsia="zh-CN"/>
                    </w:rPr>
                  </w:pPr>
                  <w:r>
                    <w:rPr>
                      <w:rFonts w:hint="eastAsia"/>
                      <w:sz w:val="24"/>
                      <w:szCs w:val="24"/>
                      <w:lang w:eastAsia="zh-CN"/>
                    </w:rPr>
                    <w:t>东莞市</w:t>
                  </w:r>
                </w:p>
              </w:tc>
              <w:tc>
                <w:tcPr>
                  <w:tcW w:w="1843" w:type="dxa"/>
                  <w:noWrap w:val="0"/>
                  <w:vAlign w:val="top"/>
                </w:tcPr>
                <w:p w14:paraId="25A99882">
                  <w:pPr>
                    <w:pStyle w:val="5"/>
                    <w:adjustRightInd w:val="0"/>
                    <w:snapToGrid w:val="0"/>
                    <w:spacing w:after="0"/>
                    <w:rPr>
                      <w:rFonts w:hint="eastAsia" w:ascii="宋体" w:hAnsi="宋体" w:cs="宋体"/>
                      <w:bCs/>
                      <w:color w:val="000000"/>
                      <w:sz w:val="24"/>
                      <w:szCs w:val="24"/>
                      <w:lang w:val="en-US" w:eastAsia="zh-CN"/>
                    </w:rPr>
                  </w:pPr>
                  <w:r>
                    <w:rPr>
                      <w:rFonts w:hint="eastAsia" w:ascii="宋体" w:hAnsi="宋体" w:cs="宋体"/>
                      <w:bCs/>
                      <w:color w:val="000000"/>
                      <w:sz w:val="24"/>
                      <w:szCs w:val="24"/>
                      <w:lang w:val="en-US" w:eastAsia="zh-CN"/>
                    </w:rPr>
                    <w:t>目标公司：</w:t>
                  </w:r>
                  <w:r>
                    <w:rPr>
                      <w:rFonts w:cs="Times New Roman"/>
                      <w:bCs/>
                      <w:color w:val="000000"/>
                      <w:sz w:val="24"/>
                      <w:szCs w:val="24"/>
                      <w:lang w:val="en-US" w:eastAsia="zh-CN"/>
                    </w:rPr>
                    <w:t>0-5%</w:t>
                  </w:r>
                </w:p>
              </w:tc>
            </w:tr>
            <w:tr w14:paraId="0462FA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2738" w:type="dxa"/>
                  <w:noWrap w:val="0"/>
                  <w:vAlign w:val="center"/>
                </w:tcPr>
                <w:p w14:paraId="27FCFDBD">
                  <w:pPr>
                    <w:pStyle w:val="5"/>
                    <w:adjustRightInd w:val="0"/>
                    <w:snapToGrid w:val="0"/>
                    <w:spacing w:after="0"/>
                    <w:jc w:val="both"/>
                    <w:rPr>
                      <w:rFonts w:hint="eastAsia" w:ascii="宋体" w:hAnsi="宋体" w:cs="宋体"/>
                      <w:bCs/>
                      <w:color w:val="000000"/>
                      <w:sz w:val="24"/>
                      <w:szCs w:val="24"/>
                      <w:lang w:val="en-US" w:eastAsia="zh-CN"/>
                    </w:rPr>
                  </w:pPr>
                  <w:r>
                    <w:rPr>
                      <w:rFonts w:hint="eastAsia"/>
                      <w:sz w:val="24"/>
                      <w:szCs w:val="24"/>
                      <w:lang w:eastAsia="zh-CN"/>
                    </w:rPr>
                    <w:t>通用仓库开发与租赁市场</w:t>
                  </w:r>
                </w:p>
              </w:tc>
              <w:tc>
                <w:tcPr>
                  <w:tcW w:w="2268" w:type="dxa"/>
                  <w:noWrap w:val="0"/>
                  <w:vAlign w:val="top"/>
                </w:tcPr>
                <w:p w14:paraId="18181CFA">
                  <w:pPr>
                    <w:pStyle w:val="5"/>
                    <w:adjustRightInd w:val="0"/>
                    <w:snapToGrid w:val="0"/>
                    <w:spacing w:after="0"/>
                    <w:rPr>
                      <w:rFonts w:hint="eastAsia" w:ascii="宋体" w:hAnsi="宋体" w:cs="宋体"/>
                      <w:bCs/>
                      <w:color w:val="000000"/>
                      <w:sz w:val="24"/>
                      <w:szCs w:val="24"/>
                      <w:lang w:val="en-US" w:eastAsia="zh-CN"/>
                    </w:rPr>
                  </w:pPr>
                  <w:r>
                    <w:rPr>
                      <w:rFonts w:hint="eastAsia"/>
                      <w:sz w:val="24"/>
                      <w:szCs w:val="24"/>
                      <w:lang w:eastAsia="zh-CN"/>
                    </w:rPr>
                    <w:t>苏州市</w:t>
                  </w:r>
                </w:p>
              </w:tc>
              <w:tc>
                <w:tcPr>
                  <w:tcW w:w="1843" w:type="dxa"/>
                  <w:noWrap w:val="0"/>
                  <w:vAlign w:val="top"/>
                </w:tcPr>
                <w:p w14:paraId="607D68E1">
                  <w:pPr>
                    <w:pStyle w:val="5"/>
                    <w:adjustRightInd w:val="0"/>
                    <w:snapToGrid w:val="0"/>
                    <w:spacing w:after="0"/>
                    <w:rPr>
                      <w:rFonts w:hint="eastAsia" w:ascii="宋体" w:hAnsi="宋体" w:cs="宋体"/>
                      <w:bCs/>
                      <w:color w:val="000000"/>
                      <w:sz w:val="24"/>
                      <w:szCs w:val="24"/>
                      <w:lang w:val="en-US" w:eastAsia="zh-CN"/>
                    </w:rPr>
                  </w:pPr>
                  <w:r>
                    <w:rPr>
                      <w:rFonts w:hint="eastAsia" w:ascii="宋体" w:hAnsi="宋体" w:cs="宋体"/>
                      <w:bCs/>
                      <w:color w:val="000000"/>
                      <w:sz w:val="24"/>
                      <w:szCs w:val="24"/>
                      <w:lang w:val="en-US" w:eastAsia="zh-CN"/>
                    </w:rPr>
                    <w:t>目标公司：</w:t>
                  </w:r>
                  <w:r>
                    <w:rPr>
                      <w:rFonts w:cs="Times New Roman"/>
                      <w:bCs/>
                      <w:color w:val="000000"/>
                      <w:sz w:val="24"/>
                      <w:szCs w:val="24"/>
                      <w:lang w:val="en-US" w:eastAsia="zh-CN"/>
                    </w:rPr>
                    <w:t>0-5%</w:t>
                  </w:r>
                </w:p>
              </w:tc>
            </w:tr>
            <w:tr w14:paraId="24F7B7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2738" w:type="dxa"/>
                  <w:noWrap w:val="0"/>
                  <w:vAlign w:val="center"/>
                </w:tcPr>
                <w:p w14:paraId="63D984D5">
                  <w:pPr>
                    <w:pStyle w:val="5"/>
                    <w:adjustRightInd w:val="0"/>
                    <w:snapToGrid w:val="0"/>
                    <w:spacing w:after="0"/>
                    <w:jc w:val="both"/>
                    <w:rPr>
                      <w:rFonts w:hint="eastAsia" w:ascii="宋体" w:hAnsi="宋体" w:cs="宋体"/>
                      <w:bCs/>
                      <w:color w:val="000000"/>
                      <w:sz w:val="24"/>
                      <w:szCs w:val="24"/>
                      <w:lang w:val="en-US" w:eastAsia="zh-CN"/>
                    </w:rPr>
                  </w:pPr>
                  <w:r>
                    <w:rPr>
                      <w:rFonts w:hint="eastAsia"/>
                      <w:sz w:val="24"/>
                      <w:szCs w:val="24"/>
                      <w:lang w:eastAsia="zh-CN"/>
                    </w:rPr>
                    <w:t>通用仓库开发与租赁市场</w:t>
                  </w:r>
                </w:p>
              </w:tc>
              <w:tc>
                <w:tcPr>
                  <w:tcW w:w="2268" w:type="dxa"/>
                  <w:noWrap w:val="0"/>
                  <w:vAlign w:val="top"/>
                </w:tcPr>
                <w:p w14:paraId="2C9EC087">
                  <w:pPr>
                    <w:pStyle w:val="5"/>
                    <w:adjustRightInd w:val="0"/>
                    <w:snapToGrid w:val="0"/>
                    <w:spacing w:after="0"/>
                    <w:rPr>
                      <w:rFonts w:hint="eastAsia" w:ascii="宋体" w:hAnsi="宋体" w:cs="宋体"/>
                      <w:bCs/>
                      <w:color w:val="000000"/>
                      <w:sz w:val="24"/>
                      <w:szCs w:val="24"/>
                      <w:lang w:val="en-US" w:eastAsia="zh-CN"/>
                    </w:rPr>
                  </w:pPr>
                  <w:r>
                    <w:rPr>
                      <w:rFonts w:hint="eastAsia"/>
                      <w:sz w:val="24"/>
                      <w:szCs w:val="24"/>
                      <w:lang w:eastAsia="zh-CN"/>
                    </w:rPr>
                    <w:t>绍兴市</w:t>
                  </w:r>
                </w:p>
              </w:tc>
              <w:tc>
                <w:tcPr>
                  <w:tcW w:w="1843" w:type="dxa"/>
                  <w:noWrap w:val="0"/>
                  <w:vAlign w:val="top"/>
                </w:tcPr>
                <w:p w14:paraId="0688D8D3">
                  <w:pPr>
                    <w:pStyle w:val="5"/>
                    <w:adjustRightInd w:val="0"/>
                    <w:snapToGrid w:val="0"/>
                    <w:spacing w:after="0"/>
                    <w:rPr>
                      <w:rFonts w:hint="eastAsia" w:cs="Times New Roman"/>
                      <w:bCs/>
                      <w:color w:val="000000"/>
                      <w:sz w:val="24"/>
                      <w:szCs w:val="24"/>
                      <w:lang w:val="en-US" w:eastAsia="zh-CN"/>
                    </w:rPr>
                  </w:pPr>
                  <w:r>
                    <w:rPr>
                      <w:rFonts w:hint="eastAsia" w:ascii="宋体" w:hAnsi="宋体" w:cs="宋体"/>
                      <w:bCs/>
                      <w:color w:val="000000"/>
                      <w:sz w:val="24"/>
                      <w:szCs w:val="24"/>
                      <w:lang w:val="en-US" w:eastAsia="zh-CN"/>
                    </w:rPr>
                    <w:t>目标公司：</w:t>
                  </w:r>
                  <w:r>
                    <w:rPr>
                      <w:rFonts w:hint="eastAsia" w:cs="Times New Roman"/>
                      <w:bCs/>
                      <w:color w:val="000000"/>
                      <w:sz w:val="24"/>
                      <w:szCs w:val="24"/>
                      <w:lang w:val="en-US" w:eastAsia="zh-CN"/>
                    </w:rPr>
                    <w:t>0-5</w:t>
                  </w:r>
                  <w:r>
                    <w:rPr>
                      <w:rFonts w:cs="Times New Roman"/>
                      <w:bCs/>
                      <w:color w:val="000000"/>
                      <w:sz w:val="24"/>
                      <w:szCs w:val="24"/>
                      <w:lang w:val="en-US" w:eastAsia="zh-CN"/>
                    </w:rPr>
                    <w:t>%</w:t>
                  </w:r>
                </w:p>
              </w:tc>
            </w:tr>
          </w:tbl>
          <w:p w14:paraId="1D8E4830">
            <w:pPr>
              <w:pStyle w:val="5"/>
              <w:adjustRightInd w:val="0"/>
              <w:snapToGrid w:val="0"/>
              <w:spacing w:after="0" w:line="320" w:lineRule="exact"/>
              <w:rPr>
                <w:rFonts w:hint="default" w:ascii="Times New Roman" w:hAnsi="Times New Roman" w:cs="Times New Roman"/>
                <w:bCs/>
                <w:color w:val="000000"/>
                <w:sz w:val="24"/>
              </w:rPr>
            </w:pPr>
          </w:p>
        </w:tc>
      </w:tr>
    </w:tbl>
    <w:p w14:paraId="00D7E8E3">
      <w:pPr>
        <w:rPr>
          <w:rFonts w:eastAsiaTheme="minorEastAsia"/>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小标宋简体">
    <w:panose1 w:val="02010601030101010101"/>
    <w:charset w:val="86"/>
    <w:family w:val="auto"/>
    <w:pitch w:val="default"/>
    <w:sig w:usb0="00000001" w:usb1="080E0000" w:usb2="00000000" w:usb3="00000000" w:csb0="00040000" w:csb1="00000000"/>
  </w:font>
  <w:font w:name="Simplified Arabic">
    <w:panose1 w:val="02020603050405020304"/>
    <w:charset w:val="B2"/>
    <w:family w:val="roman"/>
    <w:pitch w:val="default"/>
    <w:sig w:usb0="00002003" w:usb1="00000000" w:usb2="00000000" w:usb3="00000000" w:csb0="00000041" w:csb1="20080000"/>
  </w:font>
  <w:font w:name="楷体_GB2312">
    <w:panose1 w:val="02010609030101010101"/>
    <w:charset w:val="86"/>
    <w:family w:val="modern"/>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80F3C52"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NmMTI0ODhhNzFmMGU3MTZhMTA0ODYxYzI1N2YwYjIifQ=="/>
  </w:docVars>
  <w:rsids>
    <w:rsidRoot w:val="511505E7"/>
    <w:rsid w:val="00023CD5"/>
    <w:rsid w:val="00042BDD"/>
    <w:rsid w:val="00062A85"/>
    <w:rsid w:val="000732B9"/>
    <w:rsid w:val="0007692D"/>
    <w:rsid w:val="00087338"/>
    <w:rsid w:val="0009732A"/>
    <w:rsid w:val="000B129C"/>
    <w:rsid w:val="000C7C99"/>
    <w:rsid w:val="00114814"/>
    <w:rsid w:val="0015468B"/>
    <w:rsid w:val="00162A11"/>
    <w:rsid w:val="001A3122"/>
    <w:rsid w:val="001B50F2"/>
    <w:rsid w:val="001C6148"/>
    <w:rsid w:val="001F1C3C"/>
    <w:rsid w:val="00220B05"/>
    <w:rsid w:val="0022179C"/>
    <w:rsid w:val="00221FCA"/>
    <w:rsid w:val="00244DF9"/>
    <w:rsid w:val="00284710"/>
    <w:rsid w:val="002F18E2"/>
    <w:rsid w:val="00332EAC"/>
    <w:rsid w:val="0034463A"/>
    <w:rsid w:val="00346B84"/>
    <w:rsid w:val="00351103"/>
    <w:rsid w:val="003579CC"/>
    <w:rsid w:val="00367A54"/>
    <w:rsid w:val="003835F2"/>
    <w:rsid w:val="004133F3"/>
    <w:rsid w:val="004948F0"/>
    <w:rsid w:val="004C4C54"/>
    <w:rsid w:val="00500F51"/>
    <w:rsid w:val="00504BEC"/>
    <w:rsid w:val="0050617E"/>
    <w:rsid w:val="00507863"/>
    <w:rsid w:val="00551ECB"/>
    <w:rsid w:val="005C4EFC"/>
    <w:rsid w:val="005F5560"/>
    <w:rsid w:val="00606430"/>
    <w:rsid w:val="0062408E"/>
    <w:rsid w:val="00627CE6"/>
    <w:rsid w:val="00646E32"/>
    <w:rsid w:val="00656CD1"/>
    <w:rsid w:val="00692AFF"/>
    <w:rsid w:val="006A20C6"/>
    <w:rsid w:val="006A4389"/>
    <w:rsid w:val="006C3B44"/>
    <w:rsid w:val="00707821"/>
    <w:rsid w:val="0072474D"/>
    <w:rsid w:val="00734F51"/>
    <w:rsid w:val="00774B3B"/>
    <w:rsid w:val="007D63FA"/>
    <w:rsid w:val="007E06DE"/>
    <w:rsid w:val="007F706B"/>
    <w:rsid w:val="00816711"/>
    <w:rsid w:val="00826195"/>
    <w:rsid w:val="008446C5"/>
    <w:rsid w:val="008472A3"/>
    <w:rsid w:val="00876497"/>
    <w:rsid w:val="00891987"/>
    <w:rsid w:val="008B6BA9"/>
    <w:rsid w:val="008D1D1C"/>
    <w:rsid w:val="008F7E6A"/>
    <w:rsid w:val="009040AD"/>
    <w:rsid w:val="00914FE9"/>
    <w:rsid w:val="00934D60"/>
    <w:rsid w:val="00996257"/>
    <w:rsid w:val="009A7A68"/>
    <w:rsid w:val="00A25063"/>
    <w:rsid w:val="00A67BEB"/>
    <w:rsid w:val="00A73286"/>
    <w:rsid w:val="00AB10BA"/>
    <w:rsid w:val="00AB5F57"/>
    <w:rsid w:val="00AF2A61"/>
    <w:rsid w:val="00B25C95"/>
    <w:rsid w:val="00B45330"/>
    <w:rsid w:val="00B456E2"/>
    <w:rsid w:val="00B93533"/>
    <w:rsid w:val="00BB4E16"/>
    <w:rsid w:val="00BC4863"/>
    <w:rsid w:val="00BD3FB4"/>
    <w:rsid w:val="00BE051D"/>
    <w:rsid w:val="00C046B3"/>
    <w:rsid w:val="00C659BA"/>
    <w:rsid w:val="00C72941"/>
    <w:rsid w:val="00C91BD4"/>
    <w:rsid w:val="00CC6E5E"/>
    <w:rsid w:val="00CF553B"/>
    <w:rsid w:val="00D11F6E"/>
    <w:rsid w:val="00D14CED"/>
    <w:rsid w:val="00D62B13"/>
    <w:rsid w:val="00E02F08"/>
    <w:rsid w:val="00E40607"/>
    <w:rsid w:val="00E4263C"/>
    <w:rsid w:val="00E466FD"/>
    <w:rsid w:val="00E643EB"/>
    <w:rsid w:val="00EE2FA7"/>
    <w:rsid w:val="00EF4E4A"/>
    <w:rsid w:val="00EF62E6"/>
    <w:rsid w:val="00F529A9"/>
    <w:rsid w:val="00F63099"/>
    <w:rsid w:val="00F7053E"/>
    <w:rsid w:val="00F90810"/>
    <w:rsid w:val="00FD5EA5"/>
    <w:rsid w:val="00FF42DD"/>
    <w:rsid w:val="011DF4EB"/>
    <w:rsid w:val="01B165CE"/>
    <w:rsid w:val="0217304F"/>
    <w:rsid w:val="02515359"/>
    <w:rsid w:val="02BE1282"/>
    <w:rsid w:val="030806B1"/>
    <w:rsid w:val="03490091"/>
    <w:rsid w:val="03D70EC9"/>
    <w:rsid w:val="04B425C4"/>
    <w:rsid w:val="04B85AFF"/>
    <w:rsid w:val="05AB50DB"/>
    <w:rsid w:val="06075F29"/>
    <w:rsid w:val="072729B8"/>
    <w:rsid w:val="07D6476B"/>
    <w:rsid w:val="087232C3"/>
    <w:rsid w:val="08D6542E"/>
    <w:rsid w:val="08ED34FD"/>
    <w:rsid w:val="093446A7"/>
    <w:rsid w:val="0AF22185"/>
    <w:rsid w:val="0B1835C3"/>
    <w:rsid w:val="0B63273E"/>
    <w:rsid w:val="0B7D1FFD"/>
    <w:rsid w:val="0BD91CE7"/>
    <w:rsid w:val="0C6B60D7"/>
    <w:rsid w:val="0CC96F4F"/>
    <w:rsid w:val="0DE526A7"/>
    <w:rsid w:val="0E5C7E9D"/>
    <w:rsid w:val="0EEC791B"/>
    <w:rsid w:val="0F272A69"/>
    <w:rsid w:val="0FA436B7"/>
    <w:rsid w:val="0FBBC6D8"/>
    <w:rsid w:val="10C02711"/>
    <w:rsid w:val="12ED74AA"/>
    <w:rsid w:val="130B6D76"/>
    <w:rsid w:val="13236AF1"/>
    <w:rsid w:val="13D6674E"/>
    <w:rsid w:val="150C1E94"/>
    <w:rsid w:val="156644E7"/>
    <w:rsid w:val="15D94F21"/>
    <w:rsid w:val="15E47716"/>
    <w:rsid w:val="1680064E"/>
    <w:rsid w:val="17436509"/>
    <w:rsid w:val="181A7DD3"/>
    <w:rsid w:val="194523AC"/>
    <w:rsid w:val="1AA11230"/>
    <w:rsid w:val="1B2D6269"/>
    <w:rsid w:val="1BF9394B"/>
    <w:rsid w:val="1BF9AB71"/>
    <w:rsid w:val="1C361957"/>
    <w:rsid w:val="1DA24124"/>
    <w:rsid w:val="1DFE30C6"/>
    <w:rsid w:val="1FC81833"/>
    <w:rsid w:val="20C2797E"/>
    <w:rsid w:val="215B059A"/>
    <w:rsid w:val="24606B41"/>
    <w:rsid w:val="246736EB"/>
    <w:rsid w:val="24840815"/>
    <w:rsid w:val="25C17900"/>
    <w:rsid w:val="261144B9"/>
    <w:rsid w:val="27B435B3"/>
    <w:rsid w:val="27ED6C10"/>
    <w:rsid w:val="281C288D"/>
    <w:rsid w:val="28964A41"/>
    <w:rsid w:val="289A6D28"/>
    <w:rsid w:val="2AD92954"/>
    <w:rsid w:val="2B795B9C"/>
    <w:rsid w:val="2C0C7CCC"/>
    <w:rsid w:val="2CAC25FF"/>
    <w:rsid w:val="2DFF8C0F"/>
    <w:rsid w:val="2ECF569F"/>
    <w:rsid w:val="2F0902B7"/>
    <w:rsid w:val="3025112D"/>
    <w:rsid w:val="319E78FD"/>
    <w:rsid w:val="339B1A7D"/>
    <w:rsid w:val="34527864"/>
    <w:rsid w:val="348F0FE7"/>
    <w:rsid w:val="356065C1"/>
    <w:rsid w:val="35741F7B"/>
    <w:rsid w:val="35927D49"/>
    <w:rsid w:val="36647739"/>
    <w:rsid w:val="36722108"/>
    <w:rsid w:val="376D2546"/>
    <w:rsid w:val="37736187"/>
    <w:rsid w:val="37EC4B4C"/>
    <w:rsid w:val="3A7D25F4"/>
    <w:rsid w:val="3B6C128B"/>
    <w:rsid w:val="3BF42FA2"/>
    <w:rsid w:val="3C1B3849"/>
    <w:rsid w:val="3CF65106"/>
    <w:rsid w:val="3DBE0E38"/>
    <w:rsid w:val="3DCF2C73"/>
    <w:rsid w:val="3E3B322A"/>
    <w:rsid w:val="3EB7365E"/>
    <w:rsid w:val="3EBE2D3F"/>
    <w:rsid w:val="3ED7D01C"/>
    <w:rsid w:val="3EE73D98"/>
    <w:rsid w:val="3FFFF7A9"/>
    <w:rsid w:val="40161AFD"/>
    <w:rsid w:val="40D7777E"/>
    <w:rsid w:val="41CC7DDB"/>
    <w:rsid w:val="41D779C0"/>
    <w:rsid w:val="436E421B"/>
    <w:rsid w:val="43E353FE"/>
    <w:rsid w:val="45E92E66"/>
    <w:rsid w:val="46845245"/>
    <w:rsid w:val="46F216C3"/>
    <w:rsid w:val="48567BBA"/>
    <w:rsid w:val="48604985"/>
    <w:rsid w:val="48C332AF"/>
    <w:rsid w:val="48DAD897"/>
    <w:rsid w:val="49857111"/>
    <w:rsid w:val="498A72A0"/>
    <w:rsid w:val="4A1B48DF"/>
    <w:rsid w:val="4A666A5B"/>
    <w:rsid w:val="4C824703"/>
    <w:rsid w:val="4CC01CF8"/>
    <w:rsid w:val="4CFD75DE"/>
    <w:rsid w:val="4D533669"/>
    <w:rsid w:val="4D611881"/>
    <w:rsid w:val="4DB67BAD"/>
    <w:rsid w:val="4DBF710D"/>
    <w:rsid w:val="4E585190"/>
    <w:rsid w:val="4E626EA5"/>
    <w:rsid w:val="4F7D0643"/>
    <w:rsid w:val="50CB3BDA"/>
    <w:rsid w:val="511505E7"/>
    <w:rsid w:val="52691F60"/>
    <w:rsid w:val="5275657D"/>
    <w:rsid w:val="53701092"/>
    <w:rsid w:val="53DE53F7"/>
    <w:rsid w:val="549363D0"/>
    <w:rsid w:val="54D26C3D"/>
    <w:rsid w:val="54DD7AC9"/>
    <w:rsid w:val="55413F6A"/>
    <w:rsid w:val="558A3AEC"/>
    <w:rsid w:val="55FF4F39"/>
    <w:rsid w:val="563C0C84"/>
    <w:rsid w:val="567C47AD"/>
    <w:rsid w:val="568C7EFA"/>
    <w:rsid w:val="5721053D"/>
    <w:rsid w:val="59246BE1"/>
    <w:rsid w:val="5A320350"/>
    <w:rsid w:val="5A4E1134"/>
    <w:rsid w:val="5A8F5421"/>
    <w:rsid w:val="5AB377AC"/>
    <w:rsid w:val="5ADB7A9F"/>
    <w:rsid w:val="5B37709F"/>
    <w:rsid w:val="5BDF7AA8"/>
    <w:rsid w:val="5CC770F3"/>
    <w:rsid w:val="5D2A1DB6"/>
    <w:rsid w:val="5DFF5221"/>
    <w:rsid w:val="5E527642"/>
    <w:rsid w:val="5E606197"/>
    <w:rsid w:val="5E758AD3"/>
    <w:rsid w:val="5EFFEB53"/>
    <w:rsid w:val="5F56F5B6"/>
    <w:rsid w:val="5F5B3889"/>
    <w:rsid w:val="5F7404E1"/>
    <w:rsid w:val="60B85CFA"/>
    <w:rsid w:val="61AC7C2D"/>
    <w:rsid w:val="61F32521"/>
    <w:rsid w:val="63F6661D"/>
    <w:rsid w:val="64F94FB6"/>
    <w:rsid w:val="64FF0119"/>
    <w:rsid w:val="650C61D5"/>
    <w:rsid w:val="65183212"/>
    <w:rsid w:val="65AC0421"/>
    <w:rsid w:val="67090219"/>
    <w:rsid w:val="6754015D"/>
    <w:rsid w:val="67885F66"/>
    <w:rsid w:val="67D469E8"/>
    <w:rsid w:val="685D233B"/>
    <w:rsid w:val="68865FA7"/>
    <w:rsid w:val="69C0748D"/>
    <w:rsid w:val="6A7D30C3"/>
    <w:rsid w:val="6AB73D5A"/>
    <w:rsid w:val="6B0D1787"/>
    <w:rsid w:val="6B9261CD"/>
    <w:rsid w:val="6B9A71CB"/>
    <w:rsid w:val="6BCB1BF4"/>
    <w:rsid w:val="6BCC0CB3"/>
    <w:rsid w:val="6C2B2308"/>
    <w:rsid w:val="6C45316D"/>
    <w:rsid w:val="6CBF87B4"/>
    <w:rsid w:val="6DEFBAE0"/>
    <w:rsid w:val="6E372E5F"/>
    <w:rsid w:val="6E3FE820"/>
    <w:rsid w:val="6E786ABC"/>
    <w:rsid w:val="6F538C10"/>
    <w:rsid w:val="6FDF5799"/>
    <w:rsid w:val="6FEF082D"/>
    <w:rsid w:val="710A7485"/>
    <w:rsid w:val="71394751"/>
    <w:rsid w:val="72131803"/>
    <w:rsid w:val="723024E6"/>
    <w:rsid w:val="73026B48"/>
    <w:rsid w:val="73DF5395"/>
    <w:rsid w:val="74566BED"/>
    <w:rsid w:val="74CE550B"/>
    <w:rsid w:val="75933226"/>
    <w:rsid w:val="767FE0B3"/>
    <w:rsid w:val="76AFBFF1"/>
    <w:rsid w:val="76CA40F3"/>
    <w:rsid w:val="77527FDF"/>
    <w:rsid w:val="77AFF4F6"/>
    <w:rsid w:val="77FFCFC3"/>
    <w:rsid w:val="781DC11E"/>
    <w:rsid w:val="78410251"/>
    <w:rsid w:val="793FB7A1"/>
    <w:rsid w:val="7A66B182"/>
    <w:rsid w:val="7A9C06E1"/>
    <w:rsid w:val="7AB91678"/>
    <w:rsid w:val="7B8F578C"/>
    <w:rsid w:val="7B9A66EF"/>
    <w:rsid w:val="7BE411F0"/>
    <w:rsid w:val="7BF5EC97"/>
    <w:rsid w:val="7BFD20A7"/>
    <w:rsid w:val="7BFFD823"/>
    <w:rsid w:val="7C7918BC"/>
    <w:rsid w:val="7C893E5D"/>
    <w:rsid w:val="7EE72273"/>
    <w:rsid w:val="7EF7CDD2"/>
    <w:rsid w:val="7F7BEB9D"/>
    <w:rsid w:val="7F8206A0"/>
    <w:rsid w:val="7FBF2495"/>
    <w:rsid w:val="7FDCAB43"/>
    <w:rsid w:val="7FDDE354"/>
    <w:rsid w:val="7FE91E78"/>
    <w:rsid w:val="7FFDE69B"/>
    <w:rsid w:val="7FFF7DA9"/>
    <w:rsid w:val="9CBD0B1A"/>
    <w:rsid w:val="9FEF137C"/>
    <w:rsid w:val="A7F9C1DE"/>
    <w:rsid w:val="ADFAC79E"/>
    <w:rsid w:val="B3BF1605"/>
    <w:rsid w:val="B593FB7D"/>
    <w:rsid w:val="B9B92832"/>
    <w:rsid w:val="BCB7048F"/>
    <w:rsid w:val="BEAF73DD"/>
    <w:rsid w:val="BF8E36EE"/>
    <w:rsid w:val="BFDFB85E"/>
    <w:rsid w:val="BFF739EC"/>
    <w:rsid w:val="C3F5BA26"/>
    <w:rsid w:val="D5DB8D8A"/>
    <w:rsid w:val="DDEFBA43"/>
    <w:rsid w:val="DEAFB90F"/>
    <w:rsid w:val="DF21B821"/>
    <w:rsid w:val="DFD76A11"/>
    <w:rsid w:val="E9CF0B83"/>
    <w:rsid w:val="E9F71F09"/>
    <w:rsid w:val="EAFD8D58"/>
    <w:rsid w:val="EB6C770B"/>
    <w:rsid w:val="EBCD181E"/>
    <w:rsid w:val="EFFFDD70"/>
    <w:rsid w:val="F1B778F1"/>
    <w:rsid w:val="F2345BAD"/>
    <w:rsid w:val="F3FF743F"/>
    <w:rsid w:val="F4FF55F7"/>
    <w:rsid w:val="F4FFB88F"/>
    <w:rsid w:val="F7FD911C"/>
    <w:rsid w:val="F9DF2CA6"/>
    <w:rsid w:val="FADD6E63"/>
    <w:rsid w:val="FB3326CC"/>
    <w:rsid w:val="FBCE4D19"/>
    <w:rsid w:val="FDBF10AA"/>
    <w:rsid w:val="FDC26672"/>
    <w:rsid w:val="FEDF345D"/>
    <w:rsid w:val="FEFF44F1"/>
    <w:rsid w:val="FFAF18D1"/>
    <w:rsid w:val="FFBC3961"/>
    <w:rsid w:val="FFCFC2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99"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9"/>
    <w:pPr>
      <w:spacing w:after="156" w:afterLines="50" w:line="640" w:lineRule="exact"/>
      <w:outlineLvl w:val="0"/>
    </w:pPr>
    <w:rPr>
      <w:rFonts w:ascii="方正小标宋简体" w:eastAsia="方正小标宋简体"/>
      <w:sz w:val="44"/>
      <w:szCs w:val="36"/>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3">
    <w:name w:val="Normal Indent"/>
    <w:basedOn w:val="1"/>
    <w:next w:val="1"/>
    <w:qFormat/>
    <w:uiPriority w:val="99"/>
  </w:style>
  <w:style w:type="paragraph" w:styleId="4">
    <w:name w:val="annotation text"/>
    <w:basedOn w:val="1"/>
    <w:qFormat/>
    <w:uiPriority w:val="0"/>
    <w:pPr>
      <w:jc w:val="left"/>
    </w:pPr>
  </w:style>
  <w:style w:type="paragraph" w:styleId="5">
    <w:name w:val="Body Text"/>
    <w:basedOn w:val="1"/>
    <w:link w:val="18"/>
    <w:unhideWhenUsed/>
    <w:qFormat/>
    <w:uiPriority w:val="0"/>
    <w:pPr>
      <w:spacing w:after="120"/>
    </w:pPr>
  </w:style>
  <w:style w:type="paragraph" w:styleId="6">
    <w:name w:val="footer"/>
    <w:basedOn w:val="1"/>
    <w:link w:val="17"/>
    <w:qFormat/>
    <w:uiPriority w:val="0"/>
    <w:pPr>
      <w:tabs>
        <w:tab w:val="center" w:pos="4153"/>
        <w:tab w:val="right" w:pos="8306"/>
      </w:tabs>
      <w:snapToGrid w:val="0"/>
      <w:jc w:val="left"/>
    </w:pPr>
    <w:rPr>
      <w:sz w:val="18"/>
      <w:szCs w:val="18"/>
    </w:rPr>
  </w:style>
  <w:style w:type="paragraph" w:styleId="7">
    <w:name w:val="header"/>
    <w:basedOn w:val="1"/>
    <w:link w:val="16"/>
    <w:qFormat/>
    <w:uiPriority w:val="0"/>
    <w:pPr>
      <w:pBdr>
        <w:bottom w:val="single" w:color="auto" w:sz="6" w:space="1"/>
      </w:pBdr>
      <w:tabs>
        <w:tab w:val="center" w:pos="4153"/>
        <w:tab w:val="right" w:pos="8306"/>
      </w:tabs>
      <w:snapToGrid w:val="0"/>
      <w:jc w:val="center"/>
    </w:pPr>
    <w:rPr>
      <w:sz w:val="18"/>
      <w:szCs w:val="18"/>
    </w:rPr>
  </w:style>
  <w:style w:type="paragraph" w:styleId="8">
    <w:name w:val="toc 2"/>
    <w:basedOn w:val="1"/>
    <w:next w:val="1"/>
    <w:qFormat/>
    <w:uiPriority w:val="0"/>
    <w:pPr>
      <w:ind w:left="420" w:leftChars="200"/>
    </w:pPr>
    <w:rPr>
      <w:sz w:val="30"/>
    </w:rPr>
  </w:style>
  <w:style w:type="paragraph" w:styleId="9">
    <w:name w:val="Body Text First Indent"/>
    <w:basedOn w:val="5"/>
    <w:qFormat/>
    <w:uiPriority w:val="0"/>
    <w:pPr>
      <w:ind w:firstLine="420" w:firstLineChars="100"/>
    </w:pPr>
  </w:style>
  <w:style w:type="table" w:styleId="11">
    <w:name w:val="Table Grid"/>
    <w:basedOn w:val="10"/>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3">
    <w:name w:val="page number"/>
    <w:qFormat/>
    <w:uiPriority w:val="0"/>
    <w:rPr>
      <w:rFonts w:ascii="Times New Roman" w:hAnsi="Times New Roman" w:eastAsia="宋体" w:cs="Simplified Arabic"/>
      <w:sz w:val="24"/>
      <w:szCs w:val="24"/>
      <w:lang w:val="en-GB" w:bidi="ar-AE"/>
    </w:rPr>
  </w:style>
  <w:style w:type="paragraph" w:customStyle="1" w:styleId="14">
    <w:name w:val="名称2"/>
    <w:basedOn w:val="15"/>
    <w:qFormat/>
    <w:uiPriority w:val="0"/>
    <w:pPr>
      <w:spacing w:after="312" w:afterLines="100"/>
    </w:pPr>
    <w:rPr>
      <w:b w:val="0"/>
      <w:sz w:val="20"/>
    </w:rPr>
  </w:style>
  <w:style w:type="paragraph" w:customStyle="1" w:styleId="15">
    <w:name w:val="名称"/>
    <w:basedOn w:val="1"/>
    <w:qFormat/>
    <w:uiPriority w:val="0"/>
    <w:pPr>
      <w:jc w:val="center"/>
    </w:pPr>
    <w:rPr>
      <w:b/>
      <w:kern w:val="0"/>
      <w:sz w:val="44"/>
      <w:szCs w:val="20"/>
    </w:rPr>
  </w:style>
  <w:style w:type="character" w:customStyle="1" w:styleId="16">
    <w:name w:val="页眉 字符"/>
    <w:basedOn w:val="12"/>
    <w:link w:val="7"/>
    <w:qFormat/>
    <w:uiPriority w:val="0"/>
    <w:rPr>
      <w:rFonts w:ascii="Times New Roman" w:hAnsi="Times New Roman" w:eastAsia="宋体" w:cs="Times New Roman"/>
      <w:kern w:val="2"/>
      <w:sz w:val="18"/>
      <w:szCs w:val="18"/>
    </w:rPr>
  </w:style>
  <w:style w:type="character" w:customStyle="1" w:styleId="17">
    <w:name w:val="页脚 字符"/>
    <w:basedOn w:val="12"/>
    <w:link w:val="6"/>
    <w:qFormat/>
    <w:uiPriority w:val="0"/>
    <w:rPr>
      <w:rFonts w:ascii="Times New Roman" w:hAnsi="Times New Roman" w:eastAsia="宋体" w:cs="Times New Roman"/>
      <w:kern w:val="2"/>
      <w:sz w:val="18"/>
      <w:szCs w:val="18"/>
    </w:rPr>
  </w:style>
  <w:style w:type="character" w:customStyle="1" w:styleId="18">
    <w:name w:val="正文文本 字符"/>
    <w:basedOn w:val="12"/>
    <w:link w:val="5"/>
    <w:qFormat/>
    <w:uiPriority w:val="0"/>
    <w:rPr>
      <w:rFonts w:ascii="Times New Roman" w:hAnsi="Times New Roman" w:eastAsia="宋体" w:cs="Times New Roman"/>
      <w:kern w:val="2"/>
      <w:sz w:val="21"/>
      <w:szCs w:val="24"/>
    </w:rPr>
  </w:style>
  <w:style w:type="paragraph" w:styleId="19">
    <w:name w:val="List Paragraph"/>
    <w:basedOn w:val="1"/>
    <w:qFormat/>
    <w:uiPriority w:val="99"/>
    <w:pPr>
      <w:ind w:firstLine="420" w:firstLineChars="200"/>
    </w:pPr>
  </w:style>
  <w:style w:type="paragraph" w:customStyle="1" w:styleId="20">
    <w:name w:val="Footer Right"/>
    <w:basedOn w:val="6"/>
    <w:qFormat/>
    <w:uiPriority w:val="0"/>
    <w:pPr>
      <w:jc w:val="right"/>
    </w:pPr>
  </w:style>
  <w:style w:type="paragraph" w:customStyle="1" w:styleId="21">
    <w:name w:val="KWMCN-标准"/>
    <w:qFormat/>
    <w:uiPriority w:val="0"/>
    <w:pPr>
      <w:adjustRightInd w:val="0"/>
      <w:snapToGrid w:val="0"/>
      <w:spacing w:after="360" w:line="320" w:lineRule="atLeast"/>
      <w:jc w:val="both"/>
    </w:pPr>
    <w:rPr>
      <w:rFonts w:ascii="Arial" w:hAnsi="Arial" w:eastAsia="楷体_GB2312" w:cstheme="minorBidi"/>
      <w:kern w:val="2"/>
      <w:sz w:val="24"/>
      <w:szCs w:val="21"/>
      <w:lang w:val="en-US" w:eastAsia="zh-CN" w:bidi="ar-SA"/>
    </w:rPr>
  </w:style>
  <w:style w:type="paragraph" w:customStyle="1" w:styleId="22">
    <w:name w:val="修订1"/>
    <w:hidden/>
    <w:unhideWhenUsed/>
    <w:qFormat/>
    <w:uiPriority w:val="99"/>
    <w:rPr>
      <w:rFonts w:ascii="Times New Roman" w:hAnsi="Times New Roman" w:eastAsia="宋体" w:cs="Times New Roman"/>
      <w:kern w:val="2"/>
      <w:sz w:val="21"/>
      <w:szCs w:val="24"/>
      <w:lang w:val="en-US" w:eastAsia="zh-CN" w:bidi="ar-SA"/>
    </w:rPr>
  </w:style>
  <w:style w:type="paragraph" w:customStyle="1" w:styleId="23">
    <w:name w:val="Revision"/>
    <w:hidden/>
    <w:unhideWhenUsed/>
    <w:qFormat/>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其他省直机关单位</Company>
  <Pages>2</Pages>
  <Words>2892</Words>
  <Characters>3085</Characters>
  <Lines>42</Lines>
  <Paragraphs>117</Paragraphs>
  <TotalTime>20</TotalTime>
  <ScaleCrop>false</ScaleCrop>
  <LinksUpToDate>false</LinksUpToDate>
  <CharactersWithSpaces>3207</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2024-12-29T11:16:00Z</dcterms:created>
  <dc:creator>张斌（反垄断处）</dc:creator>
  <cp:lastModifiedBy>郑玉丽</cp:lastModifiedBy>
  <cp:lastPrinted>2026-05-26T09:44:00Z</cp:lastPrinted>
  <dcterms:modified xsi:type="dcterms:W3CDTF">2026-06-18T06:36:54Z</dcterms:modified>
  <dc:title>关于经营者集中反垄断审查案件</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BD4333812E8647433B43336AC8A01ED8</vt:lpwstr>
  </property>
  <property fmtid="{D5CDD505-2E9C-101B-9397-08002B2CF9AE}" pid="4" name="GrammarlyDocumentId">
    <vt:lpwstr>415c04c2ea5c76eeb4abe029fcd35cefb8eb7f284a36f64b516eda6a0aa520b6</vt:lpwstr>
  </property>
  <property fmtid="{D5CDD505-2E9C-101B-9397-08002B2CF9AE}" pid="5" name="KSOTemplateDocerSaveRecord">
    <vt:lpwstr>eyJoZGlkIjoiODNjM2VkZWUwYjdkZDYzZGY2NmZiZGNiZGIyMjFjYWIiLCJ1c2VySWQiOiIxMjE0ODEzMDc5In0=</vt:lpwstr>
  </property>
</Properties>
</file>