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E0719A">
      <w:pPr>
        <w:widowControl/>
        <w:spacing w:after="240"/>
        <w:jc w:val="center"/>
        <w:rPr>
          <w:rFonts w:hint="eastAsia" w:ascii="方正小标宋简体" w:hAnsi="方正小标宋简体" w:eastAsia="方正小标宋简体" w:cs="方正小标宋简体"/>
          <w:kern w:val="0"/>
          <w:sz w:val="44"/>
          <w:szCs w:val="44"/>
          <w:lang w:val="en-GB" w:bidi="ar"/>
        </w:rPr>
      </w:pPr>
      <w:bookmarkStart w:id="0" w:name="_GoBack"/>
      <w:bookmarkEnd w:id="0"/>
      <w:r>
        <w:rPr>
          <w:rFonts w:hint="eastAsia" w:ascii="方正小标宋简体" w:hAnsi="方正小标宋简体" w:eastAsia="方正小标宋简体" w:cs="方正小标宋简体"/>
          <w:kern w:val="0"/>
          <w:sz w:val="44"/>
          <w:szCs w:val="44"/>
          <w:lang w:val="en-GB" w:bidi="ar"/>
        </w:rPr>
        <w:t>经营者集中简易案件公示表</w:t>
      </w:r>
    </w:p>
    <w:tbl>
      <w:tblPr>
        <w:tblStyle w:val="12"/>
        <w:tblW w:w="9640" w:type="dxa"/>
        <w:tblInd w:w="-1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0"/>
        <w:gridCol w:w="1635"/>
        <w:gridCol w:w="6065"/>
      </w:tblGrid>
      <w:tr w14:paraId="5AB4C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6" w:hRule="atLeast"/>
        </w:trPr>
        <w:tc>
          <w:tcPr>
            <w:tcW w:w="1940" w:type="dxa"/>
            <w:shd w:val="clear" w:color="auto" w:fill="D9D9D9"/>
            <w:vAlign w:val="center"/>
          </w:tcPr>
          <w:p w14:paraId="2930FADD">
            <w:pPr>
              <w:pStyle w:val="7"/>
              <w:widowControl/>
              <w:adjustRightInd w:val="0"/>
              <w:snapToGrid w:val="0"/>
              <w:spacing w:after="0"/>
              <w:jc w:val="center"/>
              <w:rPr>
                <w:bCs/>
                <w:color w:val="000000"/>
                <w:sz w:val="24"/>
              </w:rPr>
            </w:pPr>
            <w:r>
              <w:rPr>
                <w:bCs/>
                <w:color w:val="000000"/>
                <w:sz w:val="24"/>
              </w:rPr>
              <w:t>案件名称</w:t>
            </w:r>
          </w:p>
        </w:tc>
        <w:tc>
          <w:tcPr>
            <w:tcW w:w="7700" w:type="dxa"/>
            <w:gridSpan w:val="2"/>
            <w:vAlign w:val="center"/>
          </w:tcPr>
          <w:p w14:paraId="5CBFDE0E">
            <w:pPr>
              <w:widowControl/>
              <w:adjustRightInd w:val="0"/>
              <w:snapToGrid w:val="0"/>
              <w:rPr>
                <w:bCs/>
                <w:color w:val="000000"/>
                <w:sz w:val="24"/>
              </w:rPr>
            </w:pPr>
            <w:r>
              <w:rPr>
                <w:rFonts w:hint="eastAsia"/>
                <w:sz w:val="24"/>
              </w:rPr>
              <w:t>广州发展新能源集团股份有限公司与江门公用事业集团有限公司新设合营企业案</w:t>
            </w:r>
          </w:p>
        </w:tc>
      </w:tr>
      <w:tr w14:paraId="1859C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91" w:hRule="atLeast"/>
        </w:trPr>
        <w:tc>
          <w:tcPr>
            <w:tcW w:w="1940" w:type="dxa"/>
            <w:shd w:val="clear" w:color="auto" w:fill="D9D9D9"/>
            <w:vAlign w:val="center"/>
          </w:tcPr>
          <w:p w14:paraId="564B2542">
            <w:pPr>
              <w:pStyle w:val="7"/>
              <w:widowControl/>
              <w:adjustRightInd w:val="0"/>
              <w:snapToGrid w:val="0"/>
              <w:spacing w:after="0"/>
              <w:jc w:val="center"/>
              <w:rPr>
                <w:bCs/>
                <w:color w:val="000000"/>
                <w:sz w:val="24"/>
              </w:rPr>
            </w:pPr>
            <w:r>
              <w:rPr>
                <w:bCs/>
                <w:color w:val="000000"/>
                <w:sz w:val="24"/>
              </w:rPr>
              <w:t>交易概况（限200字内）</w:t>
            </w:r>
          </w:p>
        </w:tc>
        <w:tc>
          <w:tcPr>
            <w:tcW w:w="7700" w:type="dxa"/>
            <w:gridSpan w:val="2"/>
            <w:vAlign w:val="center"/>
          </w:tcPr>
          <w:p w14:paraId="7CE57055">
            <w:pPr>
              <w:keepNext w:val="0"/>
              <w:keepLines w:val="0"/>
              <w:pageBreakBefore w:val="0"/>
              <w:widowControl/>
              <w:kinsoku/>
              <w:wordWrap/>
              <w:overflowPunct/>
              <w:topLinePunct w:val="0"/>
              <w:autoSpaceDE/>
              <w:autoSpaceDN/>
              <w:bidi w:val="0"/>
              <w:adjustRightInd w:val="0"/>
              <w:snapToGrid w:val="0"/>
              <w:ind w:firstLine="480" w:firstLineChars="200"/>
              <w:textAlignment w:val="auto"/>
              <w:rPr>
                <w:sz w:val="24"/>
              </w:rPr>
            </w:pPr>
            <w:r>
              <w:rPr>
                <w:rFonts w:hint="eastAsia"/>
                <w:sz w:val="24"/>
              </w:rPr>
              <w:t>广州发展新能源集团股份有限公司（“发展新能源”）与江门公用事业集团有限公司（“江门</w:t>
            </w:r>
            <w:r>
              <w:rPr>
                <w:rFonts w:hint="eastAsia"/>
                <w:sz w:val="24"/>
                <w:lang w:eastAsia="zh-CN"/>
              </w:rPr>
              <w:t>公用</w:t>
            </w:r>
            <w:r>
              <w:rPr>
                <w:rFonts w:hint="eastAsia"/>
                <w:sz w:val="24"/>
              </w:rPr>
              <w:t>”）签署协议，约定共同新设合营企业，合营企业主要从事风力发电、太阳能发电项目及电动汽车充电服务业务。交易后，发展新能源与江门</w:t>
            </w:r>
            <w:r>
              <w:rPr>
                <w:rFonts w:hint="eastAsia"/>
                <w:sz w:val="24"/>
                <w:lang w:eastAsia="zh-CN"/>
              </w:rPr>
              <w:t>公用</w:t>
            </w:r>
            <w:r>
              <w:rPr>
                <w:rFonts w:hint="eastAsia"/>
                <w:sz w:val="24"/>
              </w:rPr>
              <w:t>将分别持有合营企业65%、35%的股份，共同控制合营企业。</w:t>
            </w:r>
          </w:p>
        </w:tc>
      </w:tr>
      <w:tr w14:paraId="7CA4EA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4" w:hRule="atLeast"/>
        </w:trPr>
        <w:tc>
          <w:tcPr>
            <w:tcW w:w="1940" w:type="dxa"/>
            <w:vMerge w:val="restart"/>
            <w:shd w:val="clear" w:color="auto" w:fill="D9D9D9"/>
            <w:vAlign w:val="center"/>
          </w:tcPr>
          <w:p w14:paraId="39BBBA87">
            <w:pPr>
              <w:pStyle w:val="7"/>
              <w:widowControl/>
              <w:adjustRightInd w:val="0"/>
              <w:snapToGrid w:val="0"/>
              <w:spacing w:after="0"/>
              <w:jc w:val="center"/>
              <w:rPr>
                <w:bCs/>
                <w:color w:val="000000"/>
                <w:sz w:val="24"/>
              </w:rPr>
            </w:pPr>
            <w:r>
              <w:rPr>
                <w:bCs/>
                <w:color w:val="000000"/>
                <w:sz w:val="24"/>
              </w:rPr>
              <w:t>参与集中的经营者简介（每个限100字内）</w:t>
            </w:r>
          </w:p>
        </w:tc>
        <w:tc>
          <w:tcPr>
            <w:tcW w:w="1635" w:type="dxa"/>
            <w:vAlign w:val="center"/>
          </w:tcPr>
          <w:p w14:paraId="790890BB">
            <w:pPr>
              <w:pStyle w:val="7"/>
              <w:widowControl/>
              <w:adjustRightInd w:val="0"/>
              <w:snapToGrid w:val="0"/>
              <w:spacing w:after="0"/>
              <w:rPr>
                <w:rFonts w:hint="eastAsia" w:eastAsia="宋体"/>
                <w:bCs/>
                <w:color w:val="000000"/>
                <w:sz w:val="24"/>
                <w:lang w:eastAsia="zh-CN"/>
              </w:rPr>
            </w:pPr>
            <w:r>
              <w:rPr>
                <w:bCs/>
                <w:color w:val="000000"/>
                <w:sz w:val="24"/>
              </w:rPr>
              <w:t>1.</w:t>
            </w:r>
            <w:r>
              <w:rPr>
                <w:rFonts w:hint="eastAsia"/>
                <w:bCs/>
                <w:color w:val="000000"/>
                <w:sz w:val="24"/>
                <w:lang w:eastAsia="zh-CN"/>
              </w:rPr>
              <w:t>发展新能源</w:t>
            </w:r>
          </w:p>
        </w:tc>
        <w:tc>
          <w:tcPr>
            <w:tcW w:w="6065" w:type="dxa"/>
            <w:vAlign w:val="center"/>
          </w:tcPr>
          <w:p w14:paraId="04C11B5E">
            <w:pPr>
              <w:pStyle w:val="7"/>
              <w:keepNext w:val="0"/>
              <w:keepLines w:val="0"/>
              <w:pageBreakBefore w:val="0"/>
              <w:widowControl/>
              <w:kinsoku/>
              <w:wordWrap/>
              <w:overflowPunct/>
              <w:topLinePunct w:val="0"/>
              <w:autoSpaceDE/>
              <w:autoSpaceDN/>
              <w:bidi w:val="0"/>
              <w:adjustRightInd w:val="0"/>
              <w:snapToGrid w:val="0"/>
              <w:spacing w:after="0"/>
              <w:ind w:firstLine="480" w:firstLineChars="200"/>
              <w:textAlignment w:val="auto"/>
              <w:rPr>
                <w:rFonts w:hint="eastAsia"/>
                <w:sz w:val="24"/>
              </w:rPr>
            </w:pPr>
            <w:r>
              <w:rPr>
                <w:rFonts w:hint="eastAsia"/>
                <w:sz w:val="24"/>
              </w:rPr>
              <w:t>发展新能源于2008年4月17日成立于广东省广州市，主要业务为风力发电、太阳能发电与电动汽车充电设施建设及运营等。</w:t>
            </w:r>
          </w:p>
          <w:p w14:paraId="35FDEE85">
            <w:pPr>
              <w:pStyle w:val="7"/>
              <w:keepNext w:val="0"/>
              <w:keepLines w:val="0"/>
              <w:pageBreakBefore w:val="0"/>
              <w:widowControl/>
              <w:kinsoku/>
              <w:wordWrap/>
              <w:overflowPunct/>
              <w:topLinePunct w:val="0"/>
              <w:autoSpaceDE/>
              <w:autoSpaceDN/>
              <w:bidi w:val="0"/>
              <w:adjustRightInd w:val="0"/>
              <w:snapToGrid w:val="0"/>
              <w:spacing w:after="0"/>
              <w:ind w:firstLine="480" w:firstLineChars="200"/>
              <w:textAlignment w:val="auto"/>
              <w:rPr>
                <w:bCs/>
                <w:color w:val="000000"/>
                <w:sz w:val="24"/>
              </w:rPr>
            </w:pPr>
            <w:r>
              <w:rPr>
                <w:rFonts w:hint="eastAsia"/>
                <w:sz w:val="24"/>
              </w:rPr>
              <w:t>发展新能源最终控制人为广州产业投资控股集团有限公司，主要业务为以自有资金从事投资活动、企业管理、企业总部管理、财务咨询等。</w:t>
            </w:r>
          </w:p>
        </w:tc>
      </w:tr>
      <w:tr w14:paraId="157BBB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4" w:hRule="atLeast"/>
        </w:trPr>
        <w:tc>
          <w:tcPr>
            <w:tcW w:w="1940" w:type="dxa"/>
            <w:vMerge w:val="continue"/>
            <w:shd w:val="clear" w:color="auto" w:fill="D9D9D9"/>
            <w:vAlign w:val="center"/>
          </w:tcPr>
          <w:p w14:paraId="51CAE32B">
            <w:pPr>
              <w:pStyle w:val="7"/>
              <w:widowControl/>
              <w:adjustRightInd w:val="0"/>
              <w:snapToGrid w:val="0"/>
              <w:spacing w:after="0"/>
              <w:jc w:val="center"/>
              <w:rPr>
                <w:bCs/>
                <w:color w:val="000000"/>
                <w:sz w:val="24"/>
              </w:rPr>
            </w:pPr>
          </w:p>
        </w:tc>
        <w:tc>
          <w:tcPr>
            <w:tcW w:w="1635" w:type="dxa"/>
            <w:vAlign w:val="center"/>
          </w:tcPr>
          <w:p w14:paraId="60FEB366">
            <w:pPr>
              <w:pStyle w:val="7"/>
              <w:widowControl/>
              <w:adjustRightInd w:val="0"/>
              <w:snapToGrid w:val="0"/>
              <w:spacing w:after="0"/>
              <w:rPr>
                <w:rFonts w:hint="eastAsia" w:eastAsia="宋体"/>
                <w:bCs/>
                <w:color w:val="000000"/>
                <w:sz w:val="24"/>
                <w:lang w:eastAsia="zh-CN"/>
              </w:rPr>
            </w:pPr>
            <w:r>
              <w:rPr>
                <w:bCs/>
                <w:color w:val="000000"/>
                <w:sz w:val="24"/>
              </w:rPr>
              <w:t>2.</w:t>
            </w:r>
            <w:r>
              <w:rPr>
                <w:rFonts w:hint="eastAsia"/>
                <w:bCs/>
                <w:color w:val="000000"/>
                <w:sz w:val="24"/>
                <w:lang w:eastAsia="zh-CN"/>
              </w:rPr>
              <w:t>江门公用</w:t>
            </w:r>
          </w:p>
        </w:tc>
        <w:tc>
          <w:tcPr>
            <w:tcW w:w="6065" w:type="dxa"/>
            <w:vAlign w:val="center"/>
          </w:tcPr>
          <w:p w14:paraId="0A220B44">
            <w:pPr>
              <w:pStyle w:val="7"/>
              <w:keepNext w:val="0"/>
              <w:keepLines w:val="0"/>
              <w:pageBreakBefore w:val="0"/>
              <w:widowControl/>
              <w:kinsoku/>
              <w:wordWrap/>
              <w:overflowPunct/>
              <w:topLinePunct w:val="0"/>
              <w:autoSpaceDE/>
              <w:autoSpaceDN/>
              <w:bidi w:val="0"/>
              <w:adjustRightInd w:val="0"/>
              <w:snapToGrid w:val="0"/>
              <w:spacing w:after="0"/>
              <w:ind w:firstLine="480" w:firstLineChars="200"/>
              <w:textAlignment w:val="auto"/>
              <w:rPr>
                <w:rFonts w:hint="eastAsia"/>
                <w:sz w:val="24"/>
              </w:rPr>
            </w:pPr>
            <w:r>
              <w:rPr>
                <w:rFonts w:hint="eastAsia"/>
                <w:sz w:val="24"/>
              </w:rPr>
              <w:t>江门</w:t>
            </w:r>
            <w:r>
              <w:rPr>
                <w:rFonts w:hint="eastAsia"/>
                <w:sz w:val="24"/>
                <w:lang w:eastAsia="zh-CN"/>
              </w:rPr>
              <w:t>公用</w:t>
            </w:r>
            <w:r>
              <w:rPr>
                <w:rFonts w:hint="eastAsia"/>
                <w:sz w:val="24"/>
              </w:rPr>
              <w:t>于2022年6月22日成立于广东省江门市，主要业务为新能源发电业务、供水、能源环保、医疗康养及资产经营与管理等。</w:t>
            </w:r>
          </w:p>
          <w:p w14:paraId="4EEDDE96">
            <w:pPr>
              <w:pStyle w:val="7"/>
              <w:keepNext w:val="0"/>
              <w:keepLines w:val="0"/>
              <w:pageBreakBefore w:val="0"/>
              <w:widowControl/>
              <w:kinsoku/>
              <w:wordWrap/>
              <w:overflowPunct/>
              <w:topLinePunct w:val="0"/>
              <w:autoSpaceDE/>
              <w:autoSpaceDN/>
              <w:bidi w:val="0"/>
              <w:adjustRightInd w:val="0"/>
              <w:snapToGrid w:val="0"/>
              <w:spacing w:after="0"/>
              <w:ind w:firstLine="480" w:firstLineChars="200"/>
              <w:textAlignment w:val="auto"/>
              <w:rPr>
                <w:sz w:val="24"/>
              </w:rPr>
            </w:pPr>
            <w:r>
              <w:rPr>
                <w:rFonts w:hint="eastAsia"/>
                <w:sz w:val="24"/>
              </w:rPr>
              <w:t>江门</w:t>
            </w:r>
            <w:r>
              <w:rPr>
                <w:rFonts w:hint="eastAsia"/>
                <w:sz w:val="24"/>
                <w:lang w:eastAsia="zh-CN"/>
              </w:rPr>
              <w:t>公用</w:t>
            </w:r>
            <w:r>
              <w:rPr>
                <w:rFonts w:hint="eastAsia"/>
                <w:sz w:val="24"/>
              </w:rPr>
              <w:t>为江门市国资委下属企业。</w:t>
            </w:r>
          </w:p>
        </w:tc>
      </w:tr>
      <w:tr w14:paraId="1F703A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trPr>
        <w:tc>
          <w:tcPr>
            <w:tcW w:w="1940" w:type="dxa"/>
            <w:vMerge w:val="restart"/>
            <w:shd w:val="clear" w:color="auto" w:fill="D9D9D9"/>
            <w:vAlign w:val="center"/>
          </w:tcPr>
          <w:p w14:paraId="04DD623C">
            <w:pPr>
              <w:pStyle w:val="7"/>
              <w:widowControl/>
              <w:adjustRightInd w:val="0"/>
              <w:snapToGrid w:val="0"/>
              <w:spacing w:after="0"/>
              <w:jc w:val="center"/>
              <w:rPr>
                <w:bCs/>
                <w:color w:val="000000"/>
                <w:sz w:val="24"/>
              </w:rPr>
            </w:pPr>
            <w:r>
              <w:rPr>
                <w:bCs/>
                <w:color w:val="000000"/>
                <w:sz w:val="24"/>
              </w:rPr>
              <w:t>简易案件理由（可以单选，也可以多选）</w:t>
            </w:r>
          </w:p>
        </w:tc>
        <w:tc>
          <w:tcPr>
            <w:tcW w:w="7700" w:type="dxa"/>
            <w:gridSpan w:val="2"/>
            <w:vAlign w:val="center"/>
          </w:tcPr>
          <w:p w14:paraId="4558D28B">
            <w:pPr>
              <w:pStyle w:val="7"/>
              <w:widowControl/>
              <w:adjustRightInd w:val="0"/>
              <w:snapToGrid w:val="0"/>
              <w:spacing w:after="0"/>
              <w:rPr>
                <w:bCs/>
                <w:color w:val="000000"/>
                <w:sz w:val="24"/>
              </w:rPr>
            </w:pPr>
            <w:r>
              <w:rPr>
                <w:bCs/>
                <w:color w:val="000000"/>
                <w:sz w:val="24"/>
              </w:rPr>
              <w:sym w:font="Wingdings" w:char="00FE"/>
            </w:r>
            <w:r>
              <w:rPr>
                <w:bCs/>
                <w:color w:val="000000"/>
                <w:sz w:val="24"/>
              </w:rPr>
              <w:t xml:space="preserve"> 1、在同一相关市场，参与集中的经营者所占市场份额之和小于15%。</w:t>
            </w:r>
          </w:p>
        </w:tc>
      </w:tr>
      <w:tr w14:paraId="7528BD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940" w:type="dxa"/>
            <w:vMerge w:val="continue"/>
            <w:shd w:val="clear" w:color="auto" w:fill="D9D9D9"/>
            <w:vAlign w:val="center"/>
          </w:tcPr>
          <w:p w14:paraId="364117F5">
            <w:pPr>
              <w:pStyle w:val="7"/>
              <w:widowControl/>
              <w:adjustRightInd w:val="0"/>
              <w:snapToGrid w:val="0"/>
              <w:spacing w:after="0"/>
              <w:jc w:val="center"/>
              <w:rPr>
                <w:bCs/>
                <w:color w:val="000000"/>
                <w:sz w:val="24"/>
              </w:rPr>
            </w:pPr>
          </w:p>
        </w:tc>
        <w:tc>
          <w:tcPr>
            <w:tcW w:w="7700" w:type="dxa"/>
            <w:gridSpan w:val="2"/>
            <w:vAlign w:val="center"/>
          </w:tcPr>
          <w:p w14:paraId="55E4B443">
            <w:pPr>
              <w:pStyle w:val="7"/>
              <w:widowControl/>
              <w:adjustRightInd w:val="0"/>
              <w:snapToGrid w:val="0"/>
              <w:spacing w:after="0"/>
              <w:rPr>
                <w:bCs/>
                <w:color w:val="000000"/>
                <w:sz w:val="24"/>
              </w:rPr>
            </w:pPr>
            <w:r>
              <w:rPr>
                <w:bCs/>
                <w:color w:val="000000"/>
                <w:sz w:val="24"/>
              </w:rPr>
              <w:sym w:font="Wingdings" w:char="00A8"/>
            </w:r>
            <w:r>
              <w:rPr>
                <w:bCs/>
                <w:color w:val="000000"/>
                <w:sz w:val="24"/>
              </w:rPr>
              <w:t xml:space="preserve"> 2、在上下游市场，参与集中的经营者所占的市场份额均小于25%。</w:t>
            </w:r>
          </w:p>
        </w:tc>
      </w:tr>
      <w:tr w14:paraId="7A858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940" w:type="dxa"/>
            <w:vMerge w:val="continue"/>
            <w:shd w:val="clear" w:color="auto" w:fill="D9D9D9"/>
            <w:vAlign w:val="center"/>
          </w:tcPr>
          <w:p w14:paraId="36DE628C">
            <w:pPr>
              <w:pStyle w:val="7"/>
              <w:widowControl/>
              <w:adjustRightInd w:val="0"/>
              <w:snapToGrid w:val="0"/>
              <w:spacing w:after="0"/>
              <w:jc w:val="center"/>
              <w:rPr>
                <w:bCs/>
                <w:color w:val="000000"/>
                <w:sz w:val="24"/>
              </w:rPr>
            </w:pPr>
          </w:p>
        </w:tc>
        <w:tc>
          <w:tcPr>
            <w:tcW w:w="7700" w:type="dxa"/>
            <w:gridSpan w:val="2"/>
            <w:vAlign w:val="center"/>
          </w:tcPr>
          <w:p w14:paraId="0FA7B8A1">
            <w:pPr>
              <w:pStyle w:val="7"/>
              <w:widowControl/>
              <w:adjustRightInd w:val="0"/>
              <w:snapToGrid w:val="0"/>
              <w:spacing w:after="0"/>
              <w:rPr>
                <w:bCs/>
                <w:color w:val="000000"/>
                <w:sz w:val="24"/>
              </w:rPr>
            </w:pPr>
            <w:r>
              <w:rPr>
                <w:bCs/>
                <w:color w:val="000000"/>
                <w:sz w:val="24"/>
              </w:rPr>
              <w:sym w:font="Wingdings" w:char="00A8"/>
            </w:r>
            <w:r>
              <w:rPr>
                <w:bCs/>
                <w:color w:val="000000"/>
                <w:sz w:val="24"/>
              </w:rPr>
              <w:t xml:space="preserve"> 3、不在同一相关市场也不存在上下游关系的参与集中的经营者，在与交易有关的每个市场所占的份额均小于25%。</w:t>
            </w:r>
          </w:p>
        </w:tc>
      </w:tr>
      <w:tr w14:paraId="327E6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5" w:hRule="atLeast"/>
        </w:trPr>
        <w:tc>
          <w:tcPr>
            <w:tcW w:w="1940" w:type="dxa"/>
            <w:vMerge w:val="continue"/>
            <w:shd w:val="clear" w:color="auto" w:fill="D9D9D9"/>
            <w:vAlign w:val="center"/>
          </w:tcPr>
          <w:p w14:paraId="76C3AC96">
            <w:pPr>
              <w:pStyle w:val="7"/>
              <w:widowControl/>
              <w:adjustRightInd w:val="0"/>
              <w:snapToGrid w:val="0"/>
              <w:spacing w:after="0"/>
              <w:jc w:val="center"/>
              <w:rPr>
                <w:bCs/>
                <w:color w:val="000000"/>
                <w:sz w:val="24"/>
              </w:rPr>
            </w:pPr>
          </w:p>
        </w:tc>
        <w:tc>
          <w:tcPr>
            <w:tcW w:w="7700" w:type="dxa"/>
            <w:gridSpan w:val="2"/>
            <w:vAlign w:val="center"/>
          </w:tcPr>
          <w:p w14:paraId="407287CF">
            <w:pPr>
              <w:pStyle w:val="7"/>
              <w:widowControl/>
              <w:adjustRightInd w:val="0"/>
              <w:snapToGrid w:val="0"/>
              <w:spacing w:after="0"/>
              <w:rPr>
                <w:bCs/>
                <w:color w:val="000000"/>
                <w:sz w:val="24"/>
              </w:rPr>
            </w:pPr>
            <w:r>
              <w:rPr>
                <w:bCs/>
                <w:color w:val="000000"/>
                <w:sz w:val="24"/>
              </w:rPr>
              <w:sym w:font="Wingdings" w:char="00A8"/>
            </w:r>
            <w:r>
              <w:rPr>
                <w:bCs/>
                <w:color w:val="000000"/>
                <w:sz w:val="24"/>
              </w:rPr>
              <w:t xml:space="preserve"> 4、参与集中的经营者在中国境外设立合营企业，合营企业不在中国境内从事经济活动。</w:t>
            </w:r>
          </w:p>
        </w:tc>
      </w:tr>
      <w:tr w14:paraId="66DE6F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6" w:hRule="atLeast"/>
        </w:trPr>
        <w:tc>
          <w:tcPr>
            <w:tcW w:w="1940" w:type="dxa"/>
            <w:vMerge w:val="continue"/>
            <w:shd w:val="clear" w:color="auto" w:fill="D9D9D9"/>
            <w:vAlign w:val="center"/>
          </w:tcPr>
          <w:p w14:paraId="60B601EB">
            <w:pPr>
              <w:pStyle w:val="7"/>
              <w:widowControl/>
              <w:adjustRightInd w:val="0"/>
              <w:snapToGrid w:val="0"/>
              <w:spacing w:after="0"/>
              <w:jc w:val="center"/>
              <w:rPr>
                <w:bCs/>
                <w:color w:val="000000"/>
                <w:sz w:val="24"/>
              </w:rPr>
            </w:pPr>
          </w:p>
        </w:tc>
        <w:tc>
          <w:tcPr>
            <w:tcW w:w="7700" w:type="dxa"/>
            <w:gridSpan w:val="2"/>
            <w:vAlign w:val="center"/>
          </w:tcPr>
          <w:p w14:paraId="53A1C2AE">
            <w:pPr>
              <w:pStyle w:val="7"/>
              <w:widowControl/>
              <w:adjustRightInd w:val="0"/>
              <w:snapToGrid w:val="0"/>
              <w:spacing w:after="0"/>
              <w:rPr>
                <w:bCs/>
                <w:color w:val="000000"/>
                <w:sz w:val="24"/>
              </w:rPr>
            </w:pPr>
            <w:r>
              <w:rPr>
                <w:bCs/>
                <w:color w:val="000000"/>
                <w:sz w:val="24"/>
              </w:rPr>
              <w:sym w:font="Wingdings" w:char="00A8"/>
            </w:r>
            <w:r>
              <w:rPr>
                <w:bCs/>
                <w:color w:val="000000"/>
                <w:sz w:val="24"/>
              </w:rPr>
              <w:t xml:space="preserve"> 5、参与集中的经营者收购境外企业股权或资产的，该境外企业不在中国境内从事经济活动。</w:t>
            </w:r>
          </w:p>
        </w:tc>
      </w:tr>
      <w:tr w14:paraId="7BDD5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1940" w:type="dxa"/>
            <w:vMerge w:val="continue"/>
            <w:shd w:val="clear" w:color="auto" w:fill="D9D9D9"/>
            <w:vAlign w:val="center"/>
          </w:tcPr>
          <w:p w14:paraId="432BB257">
            <w:pPr>
              <w:pStyle w:val="7"/>
              <w:widowControl/>
              <w:adjustRightInd w:val="0"/>
              <w:snapToGrid w:val="0"/>
              <w:spacing w:after="0"/>
              <w:jc w:val="center"/>
              <w:rPr>
                <w:bCs/>
                <w:color w:val="000000"/>
                <w:sz w:val="24"/>
              </w:rPr>
            </w:pPr>
          </w:p>
        </w:tc>
        <w:tc>
          <w:tcPr>
            <w:tcW w:w="7700" w:type="dxa"/>
            <w:gridSpan w:val="2"/>
            <w:vAlign w:val="center"/>
          </w:tcPr>
          <w:p w14:paraId="3E802DEB">
            <w:pPr>
              <w:pStyle w:val="7"/>
              <w:widowControl/>
              <w:adjustRightInd w:val="0"/>
              <w:snapToGrid w:val="0"/>
              <w:spacing w:after="0"/>
              <w:rPr>
                <w:bCs/>
                <w:color w:val="000000"/>
                <w:sz w:val="24"/>
              </w:rPr>
            </w:pPr>
            <w:r>
              <w:rPr>
                <w:bCs/>
                <w:color w:val="000000"/>
                <w:sz w:val="24"/>
              </w:rPr>
              <w:sym w:font="Wingdings" w:char="00A8"/>
            </w:r>
            <w:r>
              <w:rPr>
                <w:bCs/>
                <w:color w:val="000000"/>
                <w:sz w:val="24"/>
              </w:rPr>
              <w:t xml:space="preserve"> 6、由两个以上的经营者共同控制的合营企业，通过集中被其中一个或一个以上经营者控制。</w:t>
            </w:r>
          </w:p>
        </w:tc>
      </w:tr>
      <w:tr w14:paraId="1B0A81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940" w:type="dxa"/>
            <w:shd w:val="clear" w:color="auto" w:fill="D9D9D9"/>
            <w:vAlign w:val="center"/>
          </w:tcPr>
          <w:p w14:paraId="397790DE">
            <w:pPr>
              <w:pStyle w:val="7"/>
              <w:widowControl/>
              <w:adjustRightInd w:val="0"/>
              <w:snapToGrid w:val="0"/>
              <w:spacing w:after="0"/>
              <w:jc w:val="center"/>
              <w:rPr>
                <w:bCs/>
                <w:color w:val="000000"/>
                <w:sz w:val="24"/>
              </w:rPr>
            </w:pPr>
            <w:r>
              <w:rPr>
                <w:bCs/>
                <w:color w:val="000000"/>
                <w:sz w:val="24"/>
              </w:rPr>
              <w:t>备注</w:t>
            </w:r>
          </w:p>
        </w:tc>
        <w:tc>
          <w:tcPr>
            <w:tcW w:w="7700" w:type="dxa"/>
            <w:gridSpan w:val="2"/>
            <w:vAlign w:val="center"/>
          </w:tcPr>
          <w:p w14:paraId="7E6C4C04">
            <w:pPr>
              <w:pStyle w:val="7"/>
              <w:widowControl/>
              <w:adjustRightInd w:val="0"/>
              <w:snapToGrid w:val="0"/>
              <w:spacing w:after="0"/>
              <w:rPr>
                <w:rFonts w:hint="eastAsia"/>
                <w:b/>
                <w:bCs w:val="0"/>
                <w:color w:val="000000"/>
                <w:kern w:val="0"/>
                <w:sz w:val="24"/>
                <w:lang w:val="en-GB" w:eastAsia="zh-CN"/>
              </w:rPr>
            </w:pPr>
            <w:r>
              <w:rPr>
                <w:rFonts w:hint="eastAsia"/>
                <w:b/>
                <w:bCs w:val="0"/>
                <w:color w:val="000000"/>
                <w:kern w:val="0"/>
                <w:sz w:val="24"/>
                <w:lang w:val="en-GB" w:eastAsia="zh-CN"/>
              </w:rPr>
              <w:t>横向重叠：</w:t>
            </w:r>
          </w:p>
          <w:p w14:paraId="64427A13">
            <w:pPr>
              <w:pStyle w:val="7"/>
              <w:widowControl/>
              <w:adjustRightInd w:val="0"/>
              <w:snapToGrid w:val="0"/>
              <w:spacing w:after="0"/>
              <w:rPr>
                <w:rFonts w:hint="eastAsia"/>
                <w:b w:val="0"/>
                <w:bCs/>
                <w:color w:val="000000"/>
                <w:kern w:val="0"/>
                <w:sz w:val="24"/>
                <w:lang w:val="en-GB" w:eastAsia="zh-CN"/>
              </w:rPr>
            </w:pPr>
            <w:r>
              <w:rPr>
                <w:rFonts w:hint="eastAsia"/>
                <w:b w:val="0"/>
                <w:bCs/>
                <w:color w:val="000000"/>
                <w:kern w:val="0"/>
                <w:sz w:val="24"/>
                <w:lang w:val="en-GB" w:eastAsia="zh-CN"/>
              </w:rPr>
              <w:t>2025年中国境内电力生产与供应市场:</w:t>
            </w:r>
          </w:p>
          <w:p w14:paraId="63A9A937">
            <w:pPr>
              <w:pStyle w:val="7"/>
              <w:widowControl/>
              <w:adjustRightInd w:val="0"/>
              <w:snapToGrid w:val="0"/>
              <w:spacing w:after="0"/>
              <w:rPr>
                <w:rFonts w:hint="eastAsia"/>
                <w:b w:val="0"/>
                <w:bCs/>
                <w:color w:val="000000"/>
                <w:kern w:val="0"/>
                <w:sz w:val="24"/>
                <w:lang w:val="en-GB" w:eastAsia="zh-CN"/>
              </w:rPr>
            </w:pPr>
            <w:r>
              <w:rPr>
                <w:rFonts w:hint="eastAsia"/>
                <w:b w:val="0"/>
                <w:bCs/>
                <w:color w:val="000000"/>
                <w:kern w:val="0"/>
                <w:sz w:val="24"/>
                <w:lang w:val="en-GB" w:eastAsia="zh-CN"/>
              </w:rPr>
              <w:t>发展新能源：0-5%，江门公用: 0-5%，合营企业（预估）：0-5%，各方合计：0-5%</w:t>
            </w:r>
          </w:p>
          <w:p w14:paraId="63F912A3">
            <w:pPr>
              <w:pStyle w:val="7"/>
              <w:widowControl/>
              <w:adjustRightInd w:val="0"/>
              <w:snapToGrid w:val="0"/>
              <w:spacing w:after="0"/>
              <w:rPr>
                <w:rFonts w:hint="eastAsia"/>
                <w:b w:val="0"/>
                <w:bCs/>
                <w:color w:val="000000"/>
                <w:kern w:val="0"/>
                <w:sz w:val="24"/>
                <w:lang w:val="en-GB" w:eastAsia="zh-CN"/>
              </w:rPr>
            </w:pPr>
            <w:r>
              <w:rPr>
                <w:rFonts w:hint="eastAsia"/>
                <w:b w:val="0"/>
                <w:bCs/>
                <w:color w:val="000000"/>
                <w:kern w:val="0"/>
                <w:sz w:val="24"/>
                <w:lang w:val="en-GB" w:eastAsia="zh-CN"/>
              </w:rPr>
              <w:t>2025年江门市电动汽车充电服务市场：</w:t>
            </w:r>
          </w:p>
          <w:p w14:paraId="2C224D38">
            <w:pPr>
              <w:pStyle w:val="7"/>
              <w:widowControl/>
              <w:adjustRightInd w:val="0"/>
              <w:snapToGrid w:val="0"/>
              <w:spacing w:after="0"/>
              <w:rPr>
                <w:rFonts w:hint="eastAsia"/>
                <w:bCs/>
                <w:color w:val="000000"/>
                <w:kern w:val="0"/>
                <w:sz w:val="24"/>
              </w:rPr>
            </w:pPr>
            <w:r>
              <w:rPr>
                <w:rFonts w:hint="eastAsia"/>
                <w:b w:val="0"/>
                <w:bCs/>
                <w:color w:val="000000"/>
                <w:kern w:val="0"/>
                <w:sz w:val="24"/>
                <w:lang w:val="en-GB" w:eastAsia="zh-CN"/>
              </w:rPr>
              <w:t>发展新能源：0-5%，合营企业（预估）：0-5%，各方合计：0-5%</w:t>
            </w:r>
          </w:p>
        </w:tc>
      </w:tr>
    </w:tbl>
    <w:p w14:paraId="35CD373B">
      <w:pPr>
        <w:adjustRightInd w:val="0"/>
        <w:snapToGrid w:val="0"/>
        <w:rPr>
          <w:rFonts w:eastAsiaTheme="minorEastAsi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方正小标宋简体">
    <w:panose1 w:val="02010601030101010101"/>
    <w:charset w:val="86"/>
    <w:family w:val="auto"/>
    <w:pitch w:val="default"/>
    <w:sig w:usb0="00000001" w:usb1="080E0000" w:usb2="00000000" w:usb3="00000000" w:csb0="00040000" w:csb1="00000000"/>
  </w:font>
  <w:font w:name="Simplified Arabic">
    <w:panose1 w:val="02020603050405020304"/>
    <w:charset w:val="B2"/>
    <w:family w:val="roman"/>
    <w:pitch w:val="default"/>
    <w:sig w:usb0="00002003" w:usb1="00000000" w:usb2="00000000" w:usb3="00000000" w:csb0="00000041" w:csb1="20080000"/>
  </w:font>
  <w:font w:name="楷体_GB2312">
    <w:panose1 w:val="02010609030101010101"/>
    <w:charset w:val="86"/>
    <w:family w:val="modern"/>
    <w:pitch w:val="default"/>
    <w:sig w:usb0="00000001" w:usb1="080E0000" w:usb2="00000000" w:usb3="00000000" w:csb0="00040000" w:csb1="00000000"/>
  </w:font>
  <w:font w:name="仿宋_GB2312">
    <w:panose1 w:val="02010609030101010101"/>
    <w:charset w:val="86"/>
    <w:family w:val="auto"/>
    <w:pitch w:val="default"/>
    <w:sig w:usb0="00000001"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k1Nzg2Yzk0OTU3YjY2MGZjZDE3YjZmMzRiYmI2NzMifQ=="/>
  </w:docVars>
  <w:rsids>
    <w:rsidRoot w:val="511505E7"/>
    <w:rsid w:val="0002772E"/>
    <w:rsid w:val="00042BDD"/>
    <w:rsid w:val="0007692D"/>
    <w:rsid w:val="00087338"/>
    <w:rsid w:val="00114814"/>
    <w:rsid w:val="00133900"/>
    <w:rsid w:val="001656F1"/>
    <w:rsid w:val="00186F4D"/>
    <w:rsid w:val="001B50F2"/>
    <w:rsid w:val="001C6148"/>
    <w:rsid w:val="001F1C3C"/>
    <w:rsid w:val="0022179C"/>
    <w:rsid w:val="00221FCA"/>
    <w:rsid w:val="00241676"/>
    <w:rsid w:val="00244DF9"/>
    <w:rsid w:val="00284710"/>
    <w:rsid w:val="00303ED8"/>
    <w:rsid w:val="00316BA9"/>
    <w:rsid w:val="00332EAC"/>
    <w:rsid w:val="00346B84"/>
    <w:rsid w:val="00367A54"/>
    <w:rsid w:val="004514D5"/>
    <w:rsid w:val="0047564A"/>
    <w:rsid w:val="00481C5F"/>
    <w:rsid w:val="00490B57"/>
    <w:rsid w:val="004C4C54"/>
    <w:rsid w:val="00500F51"/>
    <w:rsid w:val="00504A56"/>
    <w:rsid w:val="00504BEC"/>
    <w:rsid w:val="00507863"/>
    <w:rsid w:val="00585738"/>
    <w:rsid w:val="00590147"/>
    <w:rsid w:val="005C4EFC"/>
    <w:rsid w:val="00615E7E"/>
    <w:rsid w:val="0062408E"/>
    <w:rsid w:val="00627CE6"/>
    <w:rsid w:val="00646E32"/>
    <w:rsid w:val="00681796"/>
    <w:rsid w:val="006A20C6"/>
    <w:rsid w:val="006B05C1"/>
    <w:rsid w:val="006C3B44"/>
    <w:rsid w:val="006D46D2"/>
    <w:rsid w:val="006E2694"/>
    <w:rsid w:val="00707821"/>
    <w:rsid w:val="0072474D"/>
    <w:rsid w:val="00734F51"/>
    <w:rsid w:val="00772A1A"/>
    <w:rsid w:val="0079077E"/>
    <w:rsid w:val="007D63FA"/>
    <w:rsid w:val="007F706B"/>
    <w:rsid w:val="00816711"/>
    <w:rsid w:val="00826195"/>
    <w:rsid w:val="008472A3"/>
    <w:rsid w:val="00876497"/>
    <w:rsid w:val="008A6D0B"/>
    <w:rsid w:val="008C2439"/>
    <w:rsid w:val="008D54A9"/>
    <w:rsid w:val="009040AD"/>
    <w:rsid w:val="00921E49"/>
    <w:rsid w:val="00925747"/>
    <w:rsid w:val="00934D60"/>
    <w:rsid w:val="00960A84"/>
    <w:rsid w:val="009B27A3"/>
    <w:rsid w:val="00A73286"/>
    <w:rsid w:val="00AB67FA"/>
    <w:rsid w:val="00AF13BF"/>
    <w:rsid w:val="00B45330"/>
    <w:rsid w:val="00B57D9E"/>
    <w:rsid w:val="00B93533"/>
    <w:rsid w:val="00BA0E32"/>
    <w:rsid w:val="00BB0219"/>
    <w:rsid w:val="00BB6F16"/>
    <w:rsid w:val="00BC4863"/>
    <w:rsid w:val="00BC4E22"/>
    <w:rsid w:val="00BD3FB4"/>
    <w:rsid w:val="00BE051D"/>
    <w:rsid w:val="00BE492B"/>
    <w:rsid w:val="00C046B3"/>
    <w:rsid w:val="00C14A25"/>
    <w:rsid w:val="00CE4CBE"/>
    <w:rsid w:val="00D11F6E"/>
    <w:rsid w:val="00D14CED"/>
    <w:rsid w:val="00D36041"/>
    <w:rsid w:val="00E262A7"/>
    <w:rsid w:val="00E40607"/>
    <w:rsid w:val="00E4263C"/>
    <w:rsid w:val="00E466FD"/>
    <w:rsid w:val="00E511F7"/>
    <w:rsid w:val="00E80370"/>
    <w:rsid w:val="00EC650F"/>
    <w:rsid w:val="00F6252F"/>
    <w:rsid w:val="00F63099"/>
    <w:rsid w:val="00F653DE"/>
    <w:rsid w:val="00F7053E"/>
    <w:rsid w:val="00F80A9D"/>
    <w:rsid w:val="00F90810"/>
    <w:rsid w:val="00F971F1"/>
    <w:rsid w:val="00FD5EA5"/>
    <w:rsid w:val="00FF42DD"/>
    <w:rsid w:val="01087875"/>
    <w:rsid w:val="011DF4EB"/>
    <w:rsid w:val="01AB455E"/>
    <w:rsid w:val="01B165CE"/>
    <w:rsid w:val="01DA5C5E"/>
    <w:rsid w:val="020779C8"/>
    <w:rsid w:val="0217304F"/>
    <w:rsid w:val="02515359"/>
    <w:rsid w:val="02E16CA8"/>
    <w:rsid w:val="02F70103"/>
    <w:rsid w:val="030806B1"/>
    <w:rsid w:val="03483348"/>
    <w:rsid w:val="03490091"/>
    <w:rsid w:val="03D70EC9"/>
    <w:rsid w:val="04B425C4"/>
    <w:rsid w:val="04B85AFF"/>
    <w:rsid w:val="05AB50DB"/>
    <w:rsid w:val="06075F29"/>
    <w:rsid w:val="06EB8C2A"/>
    <w:rsid w:val="072729B8"/>
    <w:rsid w:val="073562D9"/>
    <w:rsid w:val="07D6476B"/>
    <w:rsid w:val="087232C3"/>
    <w:rsid w:val="08D6542E"/>
    <w:rsid w:val="08ED34FD"/>
    <w:rsid w:val="093446A7"/>
    <w:rsid w:val="09E21081"/>
    <w:rsid w:val="0AF22185"/>
    <w:rsid w:val="0B1835C3"/>
    <w:rsid w:val="0B3A5C6C"/>
    <w:rsid w:val="0B63273E"/>
    <w:rsid w:val="0BD91CE7"/>
    <w:rsid w:val="0C554F7A"/>
    <w:rsid w:val="0C6B60D7"/>
    <w:rsid w:val="0D1F1C05"/>
    <w:rsid w:val="0DE526A7"/>
    <w:rsid w:val="0DFB7F09"/>
    <w:rsid w:val="0E5C7E9D"/>
    <w:rsid w:val="0EEC791B"/>
    <w:rsid w:val="0F272A69"/>
    <w:rsid w:val="0F2B249C"/>
    <w:rsid w:val="0FA436B7"/>
    <w:rsid w:val="0FBBC6D8"/>
    <w:rsid w:val="0FCA58AB"/>
    <w:rsid w:val="10286214"/>
    <w:rsid w:val="10BE10ED"/>
    <w:rsid w:val="10C02711"/>
    <w:rsid w:val="11823EC9"/>
    <w:rsid w:val="11D03D09"/>
    <w:rsid w:val="11FC1ECD"/>
    <w:rsid w:val="12ED74AA"/>
    <w:rsid w:val="130B6D76"/>
    <w:rsid w:val="131E7C21"/>
    <w:rsid w:val="13236AF1"/>
    <w:rsid w:val="13D6674E"/>
    <w:rsid w:val="1437543F"/>
    <w:rsid w:val="147D797B"/>
    <w:rsid w:val="148B0637"/>
    <w:rsid w:val="150C1E94"/>
    <w:rsid w:val="15D94F21"/>
    <w:rsid w:val="15E47716"/>
    <w:rsid w:val="164E6A70"/>
    <w:rsid w:val="1680064E"/>
    <w:rsid w:val="170576D4"/>
    <w:rsid w:val="17436509"/>
    <w:rsid w:val="182A3BC2"/>
    <w:rsid w:val="19533EE7"/>
    <w:rsid w:val="199476C8"/>
    <w:rsid w:val="1A933EF5"/>
    <w:rsid w:val="1A9B628C"/>
    <w:rsid w:val="1AA11230"/>
    <w:rsid w:val="1AEB0D31"/>
    <w:rsid w:val="1AFD6EC1"/>
    <w:rsid w:val="1B2D6269"/>
    <w:rsid w:val="1B785580"/>
    <w:rsid w:val="1BEF65FF"/>
    <w:rsid w:val="1BF9394B"/>
    <w:rsid w:val="1BF9AB71"/>
    <w:rsid w:val="1C1B3B19"/>
    <w:rsid w:val="1C361957"/>
    <w:rsid w:val="1CC31397"/>
    <w:rsid w:val="1D8B4DA1"/>
    <w:rsid w:val="1DA24124"/>
    <w:rsid w:val="1DFE30C6"/>
    <w:rsid w:val="1E9F7E38"/>
    <w:rsid w:val="1EF71A09"/>
    <w:rsid w:val="1EFED7F2"/>
    <w:rsid w:val="1F2073B8"/>
    <w:rsid w:val="1FC81833"/>
    <w:rsid w:val="1FDFF0AB"/>
    <w:rsid w:val="1FE72BC6"/>
    <w:rsid w:val="20320ECE"/>
    <w:rsid w:val="20341A99"/>
    <w:rsid w:val="20815B54"/>
    <w:rsid w:val="20C2797E"/>
    <w:rsid w:val="20F82768"/>
    <w:rsid w:val="21472A39"/>
    <w:rsid w:val="215B059A"/>
    <w:rsid w:val="21BD7D11"/>
    <w:rsid w:val="21FFC12F"/>
    <w:rsid w:val="22151D28"/>
    <w:rsid w:val="244D0366"/>
    <w:rsid w:val="24606B41"/>
    <w:rsid w:val="246456B0"/>
    <w:rsid w:val="246736EB"/>
    <w:rsid w:val="24840815"/>
    <w:rsid w:val="24961512"/>
    <w:rsid w:val="24BE4747"/>
    <w:rsid w:val="25C17900"/>
    <w:rsid w:val="25DD4311"/>
    <w:rsid w:val="261144B9"/>
    <w:rsid w:val="26606A77"/>
    <w:rsid w:val="26627377"/>
    <w:rsid w:val="27B435B3"/>
    <w:rsid w:val="27CC09EF"/>
    <w:rsid w:val="27ED6C10"/>
    <w:rsid w:val="27FF1E56"/>
    <w:rsid w:val="281C288D"/>
    <w:rsid w:val="2820600C"/>
    <w:rsid w:val="283265FA"/>
    <w:rsid w:val="28361ADD"/>
    <w:rsid w:val="289A6D28"/>
    <w:rsid w:val="29826D04"/>
    <w:rsid w:val="2A0C211C"/>
    <w:rsid w:val="2A60184B"/>
    <w:rsid w:val="2AA41F53"/>
    <w:rsid w:val="2AF55222"/>
    <w:rsid w:val="2B163BA8"/>
    <w:rsid w:val="2B795B9C"/>
    <w:rsid w:val="2C0A4D8F"/>
    <w:rsid w:val="2C0C7CCC"/>
    <w:rsid w:val="2CAC25FF"/>
    <w:rsid w:val="2D0217A7"/>
    <w:rsid w:val="2D123945"/>
    <w:rsid w:val="2D522E91"/>
    <w:rsid w:val="2DA7BB6E"/>
    <w:rsid w:val="2DE926AB"/>
    <w:rsid w:val="2DFF8C0F"/>
    <w:rsid w:val="2ECF569F"/>
    <w:rsid w:val="2F0902B7"/>
    <w:rsid w:val="2FD63906"/>
    <w:rsid w:val="2FEDBF98"/>
    <w:rsid w:val="2FF78668"/>
    <w:rsid w:val="301601A6"/>
    <w:rsid w:val="3025112D"/>
    <w:rsid w:val="306F1D95"/>
    <w:rsid w:val="31687D65"/>
    <w:rsid w:val="319E78FD"/>
    <w:rsid w:val="33291F9F"/>
    <w:rsid w:val="332B297E"/>
    <w:rsid w:val="339B1A7D"/>
    <w:rsid w:val="33DF2E4E"/>
    <w:rsid w:val="33E34AE7"/>
    <w:rsid w:val="341C1B03"/>
    <w:rsid w:val="34390907"/>
    <w:rsid w:val="34527864"/>
    <w:rsid w:val="356065C1"/>
    <w:rsid w:val="35741F7B"/>
    <w:rsid w:val="35927D49"/>
    <w:rsid w:val="35AA4056"/>
    <w:rsid w:val="36647739"/>
    <w:rsid w:val="36722108"/>
    <w:rsid w:val="36A67819"/>
    <w:rsid w:val="37736187"/>
    <w:rsid w:val="37DFC498"/>
    <w:rsid w:val="37EC4B4C"/>
    <w:rsid w:val="38EF19B1"/>
    <w:rsid w:val="395A55A8"/>
    <w:rsid w:val="3A7D25F4"/>
    <w:rsid w:val="3AE3337B"/>
    <w:rsid w:val="3B6C128B"/>
    <w:rsid w:val="3BE153E8"/>
    <w:rsid w:val="3BF42FA2"/>
    <w:rsid w:val="3BFE8C88"/>
    <w:rsid w:val="3C1B3849"/>
    <w:rsid w:val="3C5203FE"/>
    <w:rsid w:val="3C772AD5"/>
    <w:rsid w:val="3C982B28"/>
    <w:rsid w:val="3D015043"/>
    <w:rsid w:val="3D8FE1AF"/>
    <w:rsid w:val="3DBE0E38"/>
    <w:rsid w:val="3DCF2C73"/>
    <w:rsid w:val="3E3B322A"/>
    <w:rsid w:val="3E4AEAFC"/>
    <w:rsid w:val="3E671EB3"/>
    <w:rsid w:val="3E6F2B57"/>
    <w:rsid w:val="3EB7365E"/>
    <w:rsid w:val="3EBE2D3F"/>
    <w:rsid w:val="3EBE7DF6"/>
    <w:rsid w:val="3ED7D01C"/>
    <w:rsid w:val="3EE73D98"/>
    <w:rsid w:val="3EFE193B"/>
    <w:rsid w:val="3EFF0DF0"/>
    <w:rsid w:val="3F642A87"/>
    <w:rsid w:val="3F7F6751"/>
    <w:rsid w:val="3FB6105D"/>
    <w:rsid w:val="3FCA68C5"/>
    <w:rsid w:val="3FDF1F7E"/>
    <w:rsid w:val="3FF1EAFD"/>
    <w:rsid w:val="3FFE2424"/>
    <w:rsid w:val="3FFF34CA"/>
    <w:rsid w:val="3FFFF255"/>
    <w:rsid w:val="3FFFF7A9"/>
    <w:rsid w:val="40454BCA"/>
    <w:rsid w:val="40D7777E"/>
    <w:rsid w:val="40E3190E"/>
    <w:rsid w:val="4129118D"/>
    <w:rsid w:val="41D779C0"/>
    <w:rsid w:val="436E421B"/>
    <w:rsid w:val="43D81ACB"/>
    <w:rsid w:val="43E353FE"/>
    <w:rsid w:val="443B7D84"/>
    <w:rsid w:val="44EF696F"/>
    <w:rsid w:val="45A801C9"/>
    <w:rsid w:val="45E92E66"/>
    <w:rsid w:val="463C27E0"/>
    <w:rsid w:val="46845245"/>
    <w:rsid w:val="46F216C3"/>
    <w:rsid w:val="47226FD9"/>
    <w:rsid w:val="47D723DD"/>
    <w:rsid w:val="48247180"/>
    <w:rsid w:val="48567BBA"/>
    <w:rsid w:val="48604985"/>
    <w:rsid w:val="48C332AF"/>
    <w:rsid w:val="48DB4B1D"/>
    <w:rsid w:val="48FE2C64"/>
    <w:rsid w:val="4935600E"/>
    <w:rsid w:val="49857111"/>
    <w:rsid w:val="498A72A0"/>
    <w:rsid w:val="4A280DAA"/>
    <w:rsid w:val="4B44740D"/>
    <w:rsid w:val="4BDF45AE"/>
    <w:rsid w:val="4BED5B46"/>
    <w:rsid w:val="4C824703"/>
    <w:rsid w:val="4CC01CF8"/>
    <w:rsid w:val="4CFD75DE"/>
    <w:rsid w:val="4D022B50"/>
    <w:rsid w:val="4D533669"/>
    <w:rsid w:val="4D611881"/>
    <w:rsid w:val="4D7CF346"/>
    <w:rsid w:val="4D8A03D2"/>
    <w:rsid w:val="4DB67BAD"/>
    <w:rsid w:val="4DBF710D"/>
    <w:rsid w:val="4E037B64"/>
    <w:rsid w:val="4E585190"/>
    <w:rsid w:val="4E626EA5"/>
    <w:rsid w:val="4F7D0643"/>
    <w:rsid w:val="4FF2DB67"/>
    <w:rsid w:val="4FFFF110"/>
    <w:rsid w:val="505C355C"/>
    <w:rsid w:val="50CB3BDA"/>
    <w:rsid w:val="51036EF4"/>
    <w:rsid w:val="511505E7"/>
    <w:rsid w:val="522432EB"/>
    <w:rsid w:val="5260460E"/>
    <w:rsid w:val="5275657D"/>
    <w:rsid w:val="535B1AD6"/>
    <w:rsid w:val="53701092"/>
    <w:rsid w:val="537FCB57"/>
    <w:rsid w:val="53DE53F7"/>
    <w:rsid w:val="53F37CA4"/>
    <w:rsid w:val="549363D0"/>
    <w:rsid w:val="54A03EDC"/>
    <w:rsid w:val="54D26C3D"/>
    <w:rsid w:val="54DD7AC9"/>
    <w:rsid w:val="553B64CC"/>
    <w:rsid w:val="55413F6A"/>
    <w:rsid w:val="556C3BF9"/>
    <w:rsid w:val="558A3AEC"/>
    <w:rsid w:val="55ABCF35"/>
    <w:rsid w:val="55F5B344"/>
    <w:rsid w:val="55FF4F39"/>
    <w:rsid w:val="563C0C84"/>
    <w:rsid w:val="567C47AD"/>
    <w:rsid w:val="568C7EFA"/>
    <w:rsid w:val="569C2904"/>
    <w:rsid w:val="56FC7623"/>
    <w:rsid w:val="5721053D"/>
    <w:rsid w:val="57472441"/>
    <w:rsid w:val="57F473E9"/>
    <w:rsid w:val="587873A1"/>
    <w:rsid w:val="59206465"/>
    <w:rsid w:val="59927FEE"/>
    <w:rsid w:val="599B7F54"/>
    <w:rsid w:val="59D80FE8"/>
    <w:rsid w:val="5A320350"/>
    <w:rsid w:val="5A4E1134"/>
    <w:rsid w:val="5A8F5421"/>
    <w:rsid w:val="5AAB1367"/>
    <w:rsid w:val="5AB377AC"/>
    <w:rsid w:val="5AD242B6"/>
    <w:rsid w:val="5ADB7A9F"/>
    <w:rsid w:val="5B9E2C7A"/>
    <w:rsid w:val="5BDF7AA8"/>
    <w:rsid w:val="5BFA4577"/>
    <w:rsid w:val="5BFF15E9"/>
    <w:rsid w:val="5C1B2572"/>
    <w:rsid w:val="5CC770F3"/>
    <w:rsid w:val="5CF709BF"/>
    <w:rsid w:val="5D633CB1"/>
    <w:rsid w:val="5DE93B9C"/>
    <w:rsid w:val="5DFF5221"/>
    <w:rsid w:val="5E606197"/>
    <w:rsid w:val="5E758AD3"/>
    <w:rsid w:val="5E872C42"/>
    <w:rsid w:val="5EB54DAB"/>
    <w:rsid w:val="5EFEE8CE"/>
    <w:rsid w:val="5EFFEB53"/>
    <w:rsid w:val="5F3A59C0"/>
    <w:rsid w:val="5F3C2655"/>
    <w:rsid w:val="5F4C72AD"/>
    <w:rsid w:val="5F5B3889"/>
    <w:rsid w:val="5F7404E1"/>
    <w:rsid w:val="5FB58CB9"/>
    <w:rsid w:val="5FCE1ACE"/>
    <w:rsid w:val="5FD337B9"/>
    <w:rsid w:val="5FDBF934"/>
    <w:rsid w:val="5FDD3B5D"/>
    <w:rsid w:val="5FDD699A"/>
    <w:rsid w:val="5FEF6B7F"/>
    <w:rsid w:val="5FF69754"/>
    <w:rsid w:val="5FFD1057"/>
    <w:rsid w:val="60600E46"/>
    <w:rsid w:val="60B85CFA"/>
    <w:rsid w:val="61A27DB8"/>
    <w:rsid w:val="61AC7C2D"/>
    <w:rsid w:val="61F32521"/>
    <w:rsid w:val="62A95BE3"/>
    <w:rsid w:val="62FE2ACC"/>
    <w:rsid w:val="63CE0698"/>
    <w:rsid w:val="63F6661D"/>
    <w:rsid w:val="642A1C4A"/>
    <w:rsid w:val="64990483"/>
    <w:rsid w:val="64F94FB6"/>
    <w:rsid w:val="64FF0119"/>
    <w:rsid w:val="650C61D5"/>
    <w:rsid w:val="65183212"/>
    <w:rsid w:val="654F569B"/>
    <w:rsid w:val="65752CAF"/>
    <w:rsid w:val="65AC0421"/>
    <w:rsid w:val="65C94540"/>
    <w:rsid w:val="65F4A48C"/>
    <w:rsid w:val="662674F5"/>
    <w:rsid w:val="66EF9058"/>
    <w:rsid w:val="67090219"/>
    <w:rsid w:val="67532E54"/>
    <w:rsid w:val="6754015D"/>
    <w:rsid w:val="676B6497"/>
    <w:rsid w:val="677B0DDC"/>
    <w:rsid w:val="67885F66"/>
    <w:rsid w:val="67D469E8"/>
    <w:rsid w:val="67DB7BB9"/>
    <w:rsid w:val="67FB6F24"/>
    <w:rsid w:val="685D233B"/>
    <w:rsid w:val="68E175B6"/>
    <w:rsid w:val="68ED6FEF"/>
    <w:rsid w:val="69140A20"/>
    <w:rsid w:val="6978328D"/>
    <w:rsid w:val="69C0748D"/>
    <w:rsid w:val="6A0942FC"/>
    <w:rsid w:val="6A7D30C3"/>
    <w:rsid w:val="6ABB6FCD"/>
    <w:rsid w:val="6AD438DD"/>
    <w:rsid w:val="6AED643D"/>
    <w:rsid w:val="6AFF300A"/>
    <w:rsid w:val="6B2D0068"/>
    <w:rsid w:val="6B5CFEDC"/>
    <w:rsid w:val="6B9261CD"/>
    <w:rsid w:val="6B935AA5"/>
    <w:rsid w:val="6B9A71CB"/>
    <w:rsid w:val="6BB3C2CA"/>
    <w:rsid w:val="6BCB1BF4"/>
    <w:rsid w:val="6BCC0CB3"/>
    <w:rsid w:val="6BDED2CF"/>
    <w:rsid w:val="6BEBF20E"/>
    <w:rsid w:val="6C45316D"/>
    <w:rsid w:val="6C5FFDFD"/>
    <w:rsid w:val="6CA65B6F"/>
    <w:rsid w:val="6CBE075E"/>
    <w:rsid w:val="6CBF87B4"/>
    <w:rsid w:val="6D7B05E6"/>
    <w:rsid w:val="6DBE9C49"/>
    <w:rsid w:val="6DC30C82"/>
    <w:rsid w:val="6DDA538F"/>
    <w:rsid w:val="6DDED766"/>
    <w:rsid w:val="6DEFBAE0"/>
    <w:rsid w:val="6E372E5F"/>
    <w:rsid w:val="6E3FE820"/>
    <w:rsid w:val="6E786ABC"/>
    <w:rsid w:val="6E954194"/>
    <w:rsid w:val="6EBE3907"/>
    <w:rsid w:val="6F538C10"/>
    <w:rsid w:val="6F6E1640"/>
    <w:rsid w:val="6FAD6E24"/>
    <w:rsid w:val="6FB7F940"/>
    <w:rsid w:val="6FC1631A"/>
    <w:rsid w:val="6FDF5799"/>
    <w:rsid w:val="6FE85134"/>
    <w:rsid w:val="6FEFA4E2"/>
    <w:rsid w:val="6FF7091D"/>
    <w:rsid w:val="6FFB3825"/>
    <w:rsid w:val="6FFDD266"/>
    <w:rsid w:val="706C5090"/>
    <w:rsid w:val="710A7485"/>
    <w:rsid w:val="71394751"/>
    <w:rsid w:val="71402523"/>
    <w:rsid w:val="71EE19CF"/>
    <w:rsid w:val="72131803"/>
    <w:rsid w:val="723024E6"/>
    <w:rsid w:val="72777687"/>
    <w:rsid w:val="73026B48"/>
    <w:rsid w:val="735D723C"/>
    <w:rsid w:val="7377A20D"/>
    <w:rsid w:val="737A6056"/>
    <w:rsid w:val="737FE4CC"/>
    <w:rsid w:val="7447B6BF"/>
    <w:rsid w:val="74566BED"/>
    <w:rsid w:val="74771EBA"/>
    <w:rsid w:val="74CE550B"/>
    <w:rsid w:val="74E476E3"/>
    <w:rsid w:val="74FA9F2D"/>
    <w:rsid w:val="751B0A84"/>
    <w:rsid w:val="752B15CB"/>
    <w:rsid w:val="755F49C7"/>
    <w:rsid w:val="756F7C99"/>
    <w:rsid w:val="75A34AC0"/>
    <w:rsid w:val="75BA7893"/>
    <w:rsid w:val="75FD2329"/>
    <w:rsid w:val="75FE8BDD"/>
    <w:rsid w:val="763FAA27"/>
    <w:rsid w:val="765FAA54"/>
    <w:rsid w:val="767D770A"/>
    <w:rsid w:val="767FE0B3"/>
    <w:rsid w:val="76AFBFF1"/>
    <w:rsid w:val="76BF73B6"/>
    <w:rsid w:val="76CA40F3"/>
    <w:rsid w:val="76D3A759"/>
    <w:rsid w:val="77496BC0"/>
    <w:rsid w:val="77527FDF"/>
    <w:rsid w:val="775E8BC6"/>
    <w:rsid w:val="775F275F"/>
    <w:rsid w:val="777BD1C3"/>
    <w:rsid w:val="777D1E86"/>
    <w:rsid w:val="777FCD8F"/>
    <w:rsid w:val="77960090"/>
    <w:rsid w:val="77A0AA49"/>
    <w:rsid w:val="77AFF4F6"/>
    <w:rsid w:val="77AFF73C"/>
    <w:rsid w:val="77D96E3F"/>
    <w:rsid w:val="77DFDD5B"/>
    <w:rsid w:val="77E6E8CB"/>
    <w:rsid w:val="77FB42A6"/>
    <w:rsid w:val="77FBAA8E"/>
    <w:rsid w:val="77FEDADF"/>
    <w:rsid w:val="77FF6A8C"/>
    <w:rsid w:val="77FF8866"/>
    <w:rsid w:val="77FFCFC3"/>
    <w:rsid w:val="77FFEFDF"/>
    <w:rsid w:val="78410251"/>
    <w:rsid w:val="789D5404"/>
    <w:rsid w:val="78FE68D5"/>
    <w:rsid w:val="793FB7A1"/>
    <w:rsid w:val="79EC0BFB"/>
    <w:rsid w:val="79FA9BCD"/>
    <w:rsid w:val="7A66B182"/>
    <w:rsid w:val="7A9C06E1"/>
    <w:rsid w:val="7AB91678"/>
    <w:rsid w:val="7AF72C92"/>
    <w:rsid w:val="7B534FF9"/>
    <w:rsid w:val="7B7B414A"/>
    <w:rsid w:val="7B8F578C"/>
    <w:rsid w:val="7B9A66EF"/>
    <w:rsid w:val="7BAB6FC2"/>
    <w:rsid w:val="7BD6EBF8"/>
    <w:rsid w:val="7BE411F0"/>
    <w:rsid w:val="7BE78EC0"/>
    <w:rsid w:val="7BFBEA34"/>
    <w:rsid w:val="7BFD7C4E"/>
    <w:rsid w:val="7BFDD557"/>
    <w:rsid w:val="7BFFD823"/>
    <w:rsid w:val="7BFFE06B"/>
    <w:rsid w:val="7BFFE7AB"/>
    <w:rsid w:val="7C235B45"/>
    <w:rsid w:val="7C5D2D50"/>
    <w:rsid w:val="7C7918BC"/>
    <w:rsid w:val="7CBEF0D0"/>
    <w:rsid w:val="7CCB66D7"/>
    <w:rsid w:val="7CFFE32C"/>
    <w:rsid w:val="7D6F58DB"/>
    <w:rsid w:val="7DBFEE7D"/>
    <w:rsid w:val="7DCE664D"/>
    <w:rsid w:val="7DDC0FE0"/>
    <w:rsid w:val="7DDFC877"/>
    <w:rsid w:val="7E5AB48B"/>
    <w:rsid w:val="7E9DA405"/>
    <w:rsid w:val="7EBEB929"/>
    <w:rsid w:val="7ED6B717"/>
    <w:rsid w:val="7EE72273"/>
    <w:rsid w:val="7EEB5729"/>
    <w:rsid w:val="7EF16FA7"/>
    <w:rsid w:val="7EF7CDD2"/>
    <w:rsid w:val="7EFF73B1"/>
    <w:rsid w:val="7F23145A"/>
    <w:rsid w:val="7F3EBECF"/>
    <w:rsid w:val="7F543923"/>
    <w:rsid w:val="7F7BEB9D"/>
    <w:rsid w:val="7F7E0F79"/>
    <w:rsid w:val="7F7F4275"/>
    <w:rsid w:val="7F9E584B"/>
    <w:rsid w:val="7F9F8D24"/>
    <w:rsid w:val="7FB70FD4"/>
    <w:rsid w:val="7FBBC276"/>
    <w:rsid w:val="7FBBDAF9"/>
    <w:rsid w:val="7FBF09DE"/>
    <w:rsid w:val="7FBF2495"/>
    <w:rsid w:val="7FD59461"/>
    <w:rsid w:val="7FDBE98D"/>
    <w:rsid w:val="7FDCAB43"/>
    <w:rsid w:val="7FE15510"/>
    <w:rsid w:val="7FE91E78"/>
    <w:rsid w:val="7FEB3232"/>
    <w:rsid w:val="7FF3DAB9"/>
    <w:rsid w:val="7FF500C7"/>
    <w:rsid w:val="7FFBA8A6"/>
    <w:rsid w:val="7FFDE69B"/>
    <w:rsid w:val="7FFF79FA"/>
    <w:rsid w:val="8A379C7D"/>
    <w:rsid w:val="8AD7B623"/>
    <w:rsid w:val="8D7FD0F6"/>
    <w:rsid w:val="8DF8C568"/>
    <w:rsid w:val="8FFF05EE"/>
    <w:rsid w:val="97C7A0C4"/>
    <w:rsid w:val="9B3165F2"/>
    <w:rsid w:val="9BDD8B33"/>
    <w:rsid w:val="9BFF3CF8"/>
    <w:rsid w:val="9CBD0B1A"/>
    <w:rsid w:val="9CE361F9"/>
    <w:rsid w:val="9D7F0CB7"/>
    <w:rsid w:val="9DEFBA4D"/>
    <w:rsid w:val="9EF781DE"/>
    <w:rsid w:val="9F67B1E1"/>
    <w:rsid w:val="9F920F21"/>
    <w:rsid w:val="A7F9C1DE"/>
    <w:rsid w:val="A9AD231D"/>
    <w:rsid w:val="ADFAC79E"/>
    <w:rsid w:val="AE7E1E17"/>
    <w:rsid w:val="AFC56981"/>
    <w:rsid w:val="B32F9DC2"/>
    <w:rsid w:val="B593FB7D"/>
    <w:rsid w:val="B75FE11F"/>
    <w:rsid w:val="B77B2A12"/>
    <w:rsid w:val="B9B92832"/>
    <w:rsid w:val="BAED78C7"/>
    <w:rsid w:val="BBEF9792"/>
    <w:rsid w:val="BBF7C791"/>
    <w:rsid w:val="BCB7048F"/>
    <w:rsid w:val="BCF89F06"/>
    <w:rsid w:val="BD0F8C47"/>
    <w:rsid w:val="BEAF73DD"/>
    <w:rsid w:val="BEEE2B94"/>
    <w:rsid w:val="BF3E17A4"/>
    <w:rsid w:val="BF4F4689"/>
    <w:rsid w:val="BF8E36EE"/>
    <w:rsid w:val="BFAF0BB7"/>
    <w:rsid w:val="BFDF612A"/>
    <w:rsid w:val="BFDFB85E"/>
    <w:rsid w:val="BFEDABFC"/>
    <w:rsid w:val="BFEF0D5B"/>
    <w:rsid w:val="BFF739EC"/>
    <w:rsid w:val="BFF7D663"/>
    <w:rsid w:val="BFFD7287"/>
    <w:rsid w:val="BFFF84B7"/>
    <w:rsid w:val="C3F5BA26"/>
    <w:rsid w:val="CAFFD068"/>
    <w:rsid w:val="CB6F7EC5"/>
    <w:rsid w:val="CB7D0B2D"/>
    <w:rsid w:val="CB9C4B68"/>
    <w:rsid w:val="CD7F54D6"/>
    <w:rsid w:val="CDCB4AA8"/>
    <w:rsid w:val="CDDEA08E"/>
    <w:rsid w:val="CEFF7CED"/>
    <w:rsid w:val="CF7F6B7D"/>
    <w:rsid w:val="CFF64343"/>
    <w:rsid w:val="D3F22235"/>
    <w:rsid w:val="D49B5E3D"/>
    <w:rsid w:val="D5B58DC7"/>
    <w:rsid w:val="D5DB8D8A"/>
    <w:rsid w:val="D7E88F55"/>
    <w:rsid w:val="DB33A89B"/>
    <w:rsid w:val="DBF2E9D5"/>
    <w:rsid w:val="DBF3BC9D"/>
    <w:rsid w:val="DD4D51D5"/>
    <w:rsid w:val="DDA91EB6"/>
    <w:rsid w:val="DDAF5738"/>
    <w:rsid w:val="DDBE5093"/>
    <w:rsid w:val="DDDE42F9"/>
    <w:rsid w:val="DDEFBA43"/>
    <w:rsid w:val="DDEFC054"/>
    <w:rsid w:val="DE871169"/>
    <w:rsid w:val="DEAFB90F"/>
    <w:rsid w:val="DEDFD2BD"/>
    <w:rsid w:val="DEFB0BFE"/>
    <w:rsid w:val="DF21B821"/>
    <w:rsid w:val="DFAF05F1"/>
    <w:rsid w:val="DFBFBE16"/>
    <w:rsid w:val="DFD76A11"/>
    <w:rsid w:val="DFDFAC11"/>
    <w:rsid w:val="DFE797EB"/>
    <w:rsid w:val="DFEFC715"/>
    <w:rsid w:val="DFFF4786"/>
    <w:rsid w:val="E1B76C47"/>
    <w:rsid w:val="E3FE57E7"/>
    <w:rsid w:val="E5BFBEBC"/>
    <w:rsid w:val="E6B7D24D"/>
    <w:rsid w:val="E6F77E68"/>
    <w:rsid w:val="E7BDE424"/>
    <w:rsid w:val="E7FF3C97"/>
    <w:rsid w:val="E7FFE685"/>
    <w:rsid w:val="E8D79DF8"/>
    <w:rsid w:val="E97F9658"/>
    <w:rsid w:val="E9F71F09"/>
    <w:rsid w:val="E9F7D881"/>
    <w:rsid w:val="E9FF86BC"/>
    <w:rsid w:val="EAFD8D58"/>
    <w:rsid w:val="EB6C770B"/>
    <w:rsid w:val="EB7DD7C9"/>
    <w:rsid w:val="EBCD181E"/>
    <w:rsid w:val="EBDB640E"/>
    <w:rsid w:val="EBFF7898"/>
    <w:rsid w:val="ECFF1072"/>
    <w:rsid w:val="ED9DB8D5"/>
    <w:rsid w:val="EDDB1346"/>
    <w:rsid w:val="EDF3771B"/>
    <w:rsid w:val="EDFF0807"/>
    <w:rsid w:val="EDFF9922"/>
    <w:rsid w:val="EEC40EE9"/>
    <w:rsid w:val="EEFD57A8"/>
    <w:rsid w:val="EF7B63E3"/>
    <w:rsid w:val="EF7F4E2A"/>
    <w:rsid w:val="EF7F9BE8"/>
    <w:rsid w:val="EFC62B3A"/>
    <w:rsid w:val="EFCDBC8D"/>
    <w:rsid w:val="EFFF0144"/>
    <w:rsid w:val="EFFFDD70"/>
    <w:rsid w:val="F1B778F1"/>
    <w:rsid w:val="F3FF743F"/>
    <w:rsid w:val="F4FF55F7"/>
    <w:rsid w:val="F5F7F5CB"/>
    <w:rsid w:val="F5F97876"/>
    <w:rsid w:val="F6654662"/>
    <w:rsid w:val="F76CF7E9"/>
    <w:rsid w:val="F7B75D8A"/>
    <w:rsid w:val="F7CFBA4D"/>
    <w:rsid w:val="F7DA6E98"/>
    <w:rsid w:val="F7DDD9EA"/>
    <w:rsid w:val="F7E39E90"/>
    <w:rsid w:val="F7EFF966"/>
    <w:rsid w:val="F7FD911C"/>
    <w:rsid w:val="F8EE49FF"/>
    <w:rsid w:val="F93B5AA6"/>
    <w:rsid w:val="F94C48A0"/>
    <w:rsid w:val="F9DF2CA6"/>
    <w:rsid w:val="F9E8B31E"/>
    <w:rsid w:val="F9EB3C24"/>
    <w:rsid w:val="FB3326CC"/>
    <w:rsid w:val="FB9F5A91"/>
    <w:rsid w:val="FB9FDE2D"/>
    <w:rsid w:val="FBCE4D19"/>
    <w:rsid w:val="FBDBEF41"/>
    <w:rsid w:val="FBFD1159"/>
    <w:rsid w:val="FBFE1D07"/>
    <w:rsid w:val="FBFF5E75"/>
    <w:rsid w:val="FCAB2178"/>
    <w:rsid w:val="FCFFC232"/>
    <w:rsid w:val="FD4FEBD9"/>
    <w:rsid w:val="FD6F06FA"/>
    <w:rsid w:val="FD7DE192"/>
    <w:rsid w:val="FDBF10AA"/>
    <w:rsid w:val="FDBF3869"/>
    <w:rsid w:val="FDBFFDC9"/>
    <w:rsid w:val="FDC957A0"/>
    <w:rsid w:val="FDD466DA"/>
    <w:rsid w:val="FDD6A258"/>
    <w:rsid w:val="FDFBDE23"/>
    <w:rsid w:val="FDFE7162"/>
    <w:rsid w:val="FDFF8E6F"/>
    <w:rsid w:val="FE4F1E64"/>
    <w:rsid w:val="FE5FA0A2"/>
    <w:rsid w:val="FEAEC70B"/>
    <w:rsid w:val="FEBD1401"/>
    <w:rsid w:val="FEE78FD0"/>
    <w:rsid w:val="FEF24953"/>
    <w:rsid w:val="FEF339DB"/>
    <w:rsid w:val="FEFB2882"/>
    <w:rsid w:val="FEFD2C3B"/>
    <w:rsid w:val="FF57FBD6"/>
    <w:rsid w:val="FF5F2CB5"/>
    <w:rsid w:val="FF5FC2B3"/>
    <w:rsid w:val="FF7645E0"/>
    <w:rsid w:val="FFB70466"/>
    <w:rsid w:val="FFBC3961"/>
    <w:rsid w:val="FFBE7B75"/>
    <w:rsid w:val="FFCF003E"/>
    <w:rsid w:val="FFEE6CF6"/>
    <w:rsid w:val="FFEF9B99"/>
    <w:rsid w:val="FFF7BE83"/>
    <w:rsid w:val="FFF854DA"/>
    <w:rsid w:val="FFFD3239"/>
    <w:rsid w:val="FFFF2AF3"/>
    <w:rsid w:val="FFFF3A53"/>
    <w:rsid w:val="FFFF91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99"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3"/>
    <w:next w:val="1"/>
    <w:qFormat/>
    <w:uiPriority w:val="9"/>
    <w:pPr>
      <w:spacing w:after="156" w:afterLines="50" w:line="640" w:lineRule="exact"/>
      <w:outlineLvl w:val="0"/>
    </w:pPr>
    <w:rPr>
      <w:rFonts w:ascii="方正小标宋简体" w:eastAsia="方正小标宋简体"/>
      <w:sz w:val="44"/>
      <w:szCs w:val="36"/>
    </w:rPr>
  </w:style>
  <w:style w:type="character" w:default="1" w:styleId="14">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customStyle="1" w:styleId="3">
    <w:name w:val="名称2"/>
    <w:basedOn w:val="4"/>
    <w:qFormat/>
    <w:uiPriority w:val="0"/>
    <w:pPr>
      <w:spacing w:after="312" w:afterLines="100"/>
    </w:pPr>
    <w:rPr>
      <w:b w:val="0"/>
      <w:sz w:val="20"/>
    </w:rPr>
  </w:style>
  <w:style w:type="paragraph" w:customStyle="1" w:styleId="4">
    <w:name w:val="名称"/>
    <w:basedOn w:val="1"/>
    <w:qFormat/>
    <w:uiPriority w:val="0"/>
    <w:pPr>
      <w:jc w:val="center"/>
    </w:pPr>
    <w:rPr>
      <w:b/>
      <w:kern w:val="0"/>
      <w:sz w:val="44"/>
      <w:szCs w:val="20"/>
    </w:rPr>
  </w:style>
  <w:style w:type="paragraph" w:styleId="5">
    <w:name w:val="Normal Indent"/>
    <w:basedOn w:val="1"/>
    <w:next w:val="1"/>
    <w:qFormat/>
    <w:uiPriority w:val="99"/>
  </w:style>
  <w:style w:type="paragraph" w:styleId="6">
    <w:name w:val="annotation text"/>
    <w:basedOn w:val="1"/>
    <w:qFormat/>
    <w:uiPriority w:val="0"/>
    <w:pPr>
      <w:jc w:val="left"/>
    </w:pPr>
  </w:style>
  <w:style w:type="paragraph" w:styleId="7">
    <w:name w:val="Body Text"/>
    <w:basedOn w:val="1"/>
    <w:link w:val="19"/>
    <w:unhideWhenUsed/>
    <w:qFormat/>
    <w:uiPriority w:val="99"/>
    <w:pPr>
      <w:spacing w:after="120"/>
    </w:pPr>
  </w:style>
  <w:style w:type="paragraph" w:styleId="8">
    <w:name w:val="footer"/>
    <w:basedOn w:val="1"/>
    <w:link w:val="18"/>
    <w:qFormat/>
    <w:uiPriority w:val="0"/>
    <w:pPr>
      <w:tabs>
        <w:tab w:val="center" w:pos="4153"/>
        <w:tab w:val="right" w:pos="8306"/>
      </w:tabs>
      <w:snapToGrid w:val="0"/>
      <w:jc w:val="left"/>
    </w:pPr>
    <w:rPr>
      <w:sz w:val="18"/>
      <w:szCs w:val="18"/>
    </w:rPr>
  </w:style>
  <w:style w:type="paragraph" w:styleId="9">
    <w:name w:val="header"/>
    <w:basedOn w:val="1"/>
    <w:link w:val="17"/>
    <w:qFormat/>
    <w:uiPriority w:val="0"/>
    <w:pPr>
      <w:pBdr>
        <w:bottom w:val="single" w:color="auto" w:sz="6" w:space="1"/>
      </w:pBdr>
      <w:tabs>
        <w:tab w:val="center" w:pos="4153"/>
        <w:tab w:val="right" w:pos="8306"/>
      </w:tabs>
      <w:snapToGrid w:val="0"/>
      <w:jc w:val="center"/>
    </w:pPr>
    <w:rPr>
      <w:sz w:val="18"/>
      <w:szCs w:val="18"/>
    </w:rPr>
  </w:style>
  <w:style w:type="paragraph" w:styleId="10">
    <w:name w:val="toc 2"/>
    <w:basedOn w:val="1"/>
    <w:next w:val="1"/>
    <w:qFormat/>
    <w:uiPriority w:val="0"/>
    <w:pPr>
      <w:ind w:left="420" w:leftChars="200"/>
    </w:pPr>
    <w:rPr>
      <w:sz w:val="30"/>
    </w:rPr>
  </w:style>
  <w:style w:type="paragraph" w:styleId="11">
    <w:name w:val="Body Text First Indent"/>
    <w:basedOn w:val="7"/>
    <w:qFormat/>
    <w:uiPriority w:val="0"/>
    <w:pPr>
      <w:ind w:firstLine="420" w:firstLineChars="100"/>
    </w:pPr>
  </w:style>
  <w:style w:type="table" w:styleId="13">
    <w:name w:val="Table Grid"/>
    <w:basedOn w:val="12"/>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5">
    <w:name w:val="page number"/>
    <w:qFormat/>
    <w:uiPriority w:val="0"/>
    <w:rPr>
      <w:rFonts w:ascii="Times New Roman" w:hAnsi="Times New Roman" w:eastAsia="宋体" w:cs="Simplified Arabic"/>
      <w:sz w:val="24"/>
      <w:szCs w:val="24"/>
      <w:lang w:val="en-GB" w:bidi="ar-AE"/>
    </w:rPr>
  </w:style>
  <w:style w:type="character" w:styleId="16">
    <w:name w:val="annotation reference"/>
    <w:basedOn w:val="14"/>
    <w:qFormat/>
    <w:uiPriority w:val="0"/>
    <w:rPr>
      <w:sz w:val="21"/>
      <w:szCs w:val="21"/>
    </w:rPr>
  </w:style>
  <w:style w:type="character" w:customStyle="1" w:styleId="17">
    <w:name w:val="页眉 字符"/>
    <w:basedOn w:val="14"/>
    <w:link w:val="9"/>
    <w:qFormat/>
    <w:uiPriority w:val="0"/>
    <w:rPr>
      <w:rFonts w:ascii="Times New Roman" w:hAnsi="Times New Roman" w:eastAsia="宋体" w:cs="Times New Roman"/>
      <w:kern w:val="2"/>
      <w:sz w:val="18"/>
      <w:szCs w:val="18"/>
    </w:rPr>
  </w:style>
  <w:style w:type="character" w:customStyle="1" w:styleId="18">
    <w:name w:val="页脚 字符"/>
    <w:basedOn w:val="14"/>
    <w:link w:val="8"/>
    <w:qFormat/>
    <w:uiPriority w:val="0"/>
    <w:rPr>
      <w:rFonts w:ascii="Times New Roman" w:hAnsi="Times New Roman" w:eastAsia="宋体" w:cs="Times New Roman"/>
      <w:kern w:val="2"/>
      <w:sz w:val="18"/>
      <w:szCs w:val="18"/>
    </w:rPr>
  </w:style>
  <w:style w:type="character" w:customStyle="1" w:styleId="19">
    <w:name w:val="正文文本 字符"/>
    <w:basedOn w:val="14"/>
    <w:link w:val="7"/>
    <w:qFormat/>
    <w:uiPriority w:val="99"/>
    <w:rPr>
      <w:rFonts w:ascii="Times New Roman" w:hAnsi="Times New Roman" w:eastAsia="宋体" w:cs="Times New Roman"/>
      <w:kern w:val="2"/>
      <w:sz w:val="21"/>
      <w:szCs w:val="24"/>
    </w:rPr>
  </w:style>
  <w:style w:type="paragraph" w:styleId="20">
    <w:name w:val="List Paragraph"/>
    <w:basedOn w:val="1"/>
    <w:qFormat/>
    <w:uiPriority w:val="99"/>
    <w:pPr>
      <w:ind w:firstLine="420" w:firstLineChars="200"/>
    </w:pPr>
  </w:style>
  <w:style w:type="paragraph" w:customStyle="1" w:styleId="21">
    <w:name w:val="Footer Right"/>
    <w:basedOn w:val="8"/>
    <w:qFormat/>
    <w:uiPriority w:val="0"/>
    <w:pPr>
      <w:jc w:val="right"/>
    </w:pPr>
  </w:style>
  <w:style w:type="paragraph" w:customStyle="1" w:styleId="22">
    <w:name w:val="KWMCN-标准"/>
    <w:qFormat/>
    <w:uiPriority w:val="0"/>
    <w:pPr>
      <w:adjustRightInd w:val="0"/>
      <w:snapToGrid w:val="0"/>
      <w:spacing w:after="360" w:line="320" w:lineRule="atLeast"/>
      <w:jc w:val="both"/>
    </w:pPr>
    <w:rPr>
      <w:rFonts w:ascii="Arial" w:hAnsi="Arial" w:eastAsia="楷体_GB2312" w:cstheme="minorBidi"/>
      <w:kern w:val="2"/>
      <w:sz w:val="24"/>
      <w:szCs w:val="21"/>
      <w:lang w:val="en-US" w:eastAsia="zh-CN" w:bidi="ar-SA"/>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其他省直机关单位</Company>
  <Pages>1</Pages>
  <Words>1789</Words>
  <Characters>1929</Characters>
  <Lines>116</Lines>
  <Paragraphs>97</Paragraphs>
  <TotalTime>79</TotalTime>
  <ScaleCrop>false</ScaleCrop>
  <LinksUpToDate>false</LinksUpToDate>
  <CharactersWithSpaces>2051</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2025-03-17T09:36:00Z</dcterms:created>
  <dc:creator>张斌（反垄断处）</dc:creator>
  <cp:lastModifiedBy>郑玉丽</cp:lastModifiedBy>
  <cp:lastPrinted>2026-05-16T09:16:00Z</cp:lastPrinted>
  <dcterms:modified xsi:type="dcterms:W3CDTF">2026-07-13T06:36:49Z</dcterms:modified>
  <dc:title>关于经营者集中反垄断审查案件</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5605A4A7CA02BF7B3490506A69943D06</vt:lpwstr>
  </property>
  <property fmtid="{D5CDD505-2E9C-101B-9397-08002B2CF9AE}" pid="4" name="KSOTemplateDocerSaveRecord">
    <vt:lpwstr>eyJoZGlkIjoiODNjM2VkZWUwYjdkZDYzZGY2NmZiZGNiZGIyMjFjYWIiLCJ1c2VySWQiOiIxMjE0ODEzMDc5In0=</vt:lpwstr>
  </property>
</Properties>
</file>