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keepNext w:val="0"/>
        <w:keepLines w:val="0"/>
        <w:pageBreakBefore w:val="0"/>
        <w:widowControl w:val="0"/>
        <w:kinsoku/>
        <w:wordWrap/>
        <w:topLinePunct w:val="0"/>
        <w:bidi w:val="0"/>
        <w:spacing w:line="594" w:lineRule="exact"/>
        <w:jc w:val="center"/>
        <w:textAlignment w:val="auto"/>
        <w:rPr>
          <w:rFonts w:eastAsia="黑体"/>
          <w:bCs/>
          <w:color w:val="000000"/>
          <w:kern w:val="2"/>
          <w:sz w:val="52"/>
          <w:szCs w:val="52"/>
        </w:rPr>
      </w:pPr>
      <w:r>
        <w:rPr>
          <w:rFonts w:hint="eastAsia" w:eastAsia="黑体"/>
          <w:bCs/>
          <w:color w:val="000000"/>
          <w:spacing w:val="30"/>
          <w:kern w:val="2"/>
          <w:sz w:val="52"/>
          <w:szCs w:val="52"/>
          <w:fitText w:val="5742" w:id="0"/>
        </w:rPr>
        <w:t>国家市场监督管理总</w:t>
      </w:r>
      <w:r>
        <w:rPr>
          <w:rFonts w:hint="eastAsia" w:eastAsia="黑体"/>
          <w:bCs/>
          <w:color w:val="000000"/>
          <w:spacing w:val="1"/>
          <w:kern w:val="2"/>
          <w:sz w:val="52"/>
          <w:szCs w:val="52"/>
          <w:fitText w:val="5742" w:id="0"/>
        </w:rPr>
        <w:t>局</w:t>
      </w:r>
    </w:p>
    <w:p>
      <w:pPr>
        <w:keepNext w:val="0"/>
        <w:keepLines w:val="0"/>
        <w:pageBreakBefore w:val="0"/>
        <w:widowControl w:val="0"/>
        <w:kinsoku/>
        <w:wordWrap/>
        <w:topLinePunct w:val="0"/>
        <w:bidi w:val="0"/>
        <w:spacing w:line="594" w:lineRule="exact"/>
        <w:jc w:val="center"/>
        <w:textAlignment w:val="auto"/>
        <w:rPr>
          <w:rFonts w:eastAsia="仿宋_GB2312"/>
          <w:color w:val="000000"/>
          <w:kern w:val="2"/>
          <w:sz w:val="44"/>
          <w:szCs w:val="44"/>
        </w:rPr>
      </w:pPr>
      <w:r>
        <w:rPr>
          <w:rFonts w:hint="eastAsia" w:eastAsia="黑体"/>
          <w:bCs/>
          <w:color w:val="000000"/>
          <w:spacing w:val="175"/>
          <w:kern w:val="2"/>
          <w:sz w:val="52"/>
          <w:szCs w:val="52"/>
          <w:fitText w:val="5742" w:id="1"/>
        </w:rPr>
        <w:t>行政处罚决定</w:t>
      </w:r>
      <w:r>
        <w:rPr>
          <w:rFonts w:hint="eastAsia" w:eastAsia="黑体"/>
          <w:bCs/>
          <w:color w:val="000000"/>
          <w:spacing w:val="1"/>
          <w:kern w:val="2"/>
          <w:sz w:val="52"/>
          <w:szCs w:val="52"/>
          <w:fitText w:val="5742" w:id="1"/>
        </w:rPr>
        <w:t>书</w:t>
      </w:r>
    </w:p>
    <w:p>
      <w:pPr>
        <w:keepNext w:val="0"/>
        <w:keepLines w:val="0"/>
        <w:pageBreakBefore w:val="0"/>
        <w:widowControl w:val="0"/>
        <w:kinsoku/>
        <w:wordWrap/>
        <w:topLinePunct w:val="0"/>
        <w:bidi w:val="0"/>
        <w:spacing w:line="594" w:lineRule="exact"/>
        <w:jc w:val="center"/>
        <w:textAlignment w:val="auto"/>
        <w:rPr>
          <w:rFonts w:hint="eastAsia" w:eastAsia="仿宋_GB2312"/>
          <w:kern w:val="2"/>
          <w:sz w:val="32"/>
          <w:szCs w:val="32"/>
        </w:rPr>
      </w:pPr>
      <w:r>
        <w:rPr>
          <w:rFonts w:hint="eastAsia" w:eastAsia="仿宋_GB2312"/>
          <w:kern w:val="2"/>
          <w:sz w:val="32"/>
          <w:szCs w:val="32"/>
        </w:rPr>
        <w:t>国市监处〔202</w:t>
      </w:r>
      <w:r>
        <w:rPr>
          <w:rFonts w:hint="eastAsia" w:eastAsia="仿宋_GB2312"/>
          <w:kern w:val="2"/>
          <w:sz w:val="32"/>
          <w:szCs w:val="32"/>
          <w:lang w:val="en-US" w:eastAsia="zh-CN"/>
        </w:rPr>
        <w:t>1</w:t>
      </w:r>
      <w:r>
        <w:rPr>
          <w:rFonts w:hint="eastAsia" w:eastAsia="仿宋_GB2312"/>
          <w:kern w:val="2"/>
          <w:sz w:val="32"/>
          <w:szCs w:val="32"/>
        </w:rPr>
        <w:t>〕</w:t>
      </w:r>
      <w:r>
        <w:rPr>
          <w:rFonts w:hint="eastAsia" w:eastAsia="仿宋_GB2312"/>
          <w:kern w:val="2"/>
          <w:sz w:val="32"/>
          <w:szCs w:val="32"/>
          <w:lang w:val="en-US" w:eastAsia="zh-CN"/>
        </w:rPr>
        <w:t>31</w:t>
      </w:r>
      <w:r>
        <w:rPr>
          <w:rFonts w:hint="eastAsia" w:eastAsia="仿宋_GB2312"/>
          <w:kern w:val="2"/>
          <w:sz w:val="32"/>
          <w:szCs w:val="32"/>
        </w:rPr>
        <w:t>号</w:t>
      </w:r>
    </w:p>
    <w:p>
      <w:pPr>
        <w:keepNext w:val="0"/>
        <w:keepLines w:val="0"/>
        <w:pageBreakBefore w:val="0"/>
        <w:widowControl w:val="0"/>
        <w:kinsoku/>
        <w:wordWrap/>
        <w:topLinePunct w:val="0"/>
        <w:bidi w:val="0"/>
        <w:spacing w:line="594" w:lineRule="exact"/>
        <w:jc w:val="center"/>
        <w:textAlignment w:val="auto"/>
        <w:rPr>
          <w:rFonts w:hint="eastAsia" w:eastAsia="仿宋_GB2312"/>
          <w:kern w:val="2"/>
          <w:sz w:val="32"/>
          <w:szCs w:val="32"/>
        </w:rPr>
      </w:pP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rPr>
      </w:pPr>
      <w:r>
        <w:rPr>
          <w:rFonts w:hint="eastAsia" w:ascii="黑体" w:hAnsi="黑体" w:eastAsia="黑体" w:cs="黑体"/>
          <w:kern w:val="2"/>
          <w:sz w:val="32"/>
          <w:szCs w:val="32"/>
        </w:rPr>
        <w:t>当事人：</w:t>
      </w:r>
      <w:r>
        <w:rPr>
          <w:rFonts w:hint="default" w:ascii="Times New Roman" w:hAnsi="Times New Roman" w:eastAsia="仿宋_GB2312" w:cs="Times New Roman"/>
          <w:bCs/>
          <w:sz w:val="32"/>
          <w:szCs w:val="32"/>
          <w:lang w:val="en-US" w:eastAsia="zh-CN"/>
        </w:rPr>
        <w:t>腾讯控股有限公司（Tencent</w:t>
      </w:r>
      <w:r>
        <w:rPr>
          <w:rFonts w:hint="eastAsia" w:ascii="仿宋_GB2312" w:hAnsi="仿宋_GB2312" w:eastAsia="仿宋_GB2312" w:cs="仿宋_GB2312"/>
          <w:bCs/>
          <w:sz w:val="32"/>
          <w:szCs w:val="32"/>
          <w:lang w:val="en-US" w:eastAsia="zh-CN"/>
        </w:rPr>
        <w:t xml:space="preserve"> </w:t>
      </w:r>
      <w:r>
        <w:rPr>
          <w:rFonts w:hint="default" w:ascii="Times New Roman" w:hAnsi="Times New Roman" w:eastAsia="仿宋_GB2312" w:cs="Times New Roman"/>
          <w:bCs/>
          <w:sz w:val="32"/>
          <w:szCs w:val="32"/>
          <w:lang w:val="en-US" w:eastAsia="zh-CN"/>
        </w:rPr>
        <w:t>Holdings</w:t>
      </w:r>
      <w:r>
        <w:rPr>
          <w:rFonts w:hint="eastAsia" w:ascii="仿宋_GB2312" w:hAnsi="仿宋_GB2312" w:eastAsia="仿宋_GB2312" w:cs="仿宋_GB2312"/>
          <w:bCs/>
          <w:sz w:val="32"/>
          <w:szCs w:val="32"/>
          <w:lang w:val="en-US" w:eastAsia="zh-CN"/>
        </w:rPr>
        <w:t xml:space="preserve"> </w:t>
      </w:r>
      <w:r>
        <w:rPr>
          <w:rFonts w:hint="default" w:ascii="Times New Roman" w:hAnsi="Times New Roman" w:eastAsia="仿宋_GB2312" w:cs="Times New Roman"/>
          <w:bCs/>
          <w:sz w:val="32"/>
          <w:szCs w:val="32"/>
          <w:lang w:val="en-US" w:eastAsia="zh-CN"/>
        </w:rPr>
        <w:t>Limited）</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lang w:eastAsia="zh-CN"/>
        </w:rPr>
      </w:pPr>
      <w:r>
        <w:rPr>
          <w:rFonts w:hint="eastAsia" w:ascii="黑体" w:hAnsi="黑体" w:eastAsia="黑体" w:cs="黑体"/>
          <w:kern w:val="2"/>
          <w:sz w:val="32"/>
          <w:szCs w:val="32"/>
        </w:rPr>
        <w:t>住  所：</w:t>
      </w:r>
      <w:r>
        <w:rPr>
          <w:rFonts w:hint="eastAsia" w:eastAsia="仿宋_GB2312"/>
          <w:kern w:val="2"/>
          <w:sz w:val="32"/>
          <w:szCs w:val="32"/>
          <w:highlight w:val="none"/>
          <w:lang w:eastAsia="zh-CN"/>
        </w:rPr>
        <w:t>开曼群岛哈金斯大道克里奇广场</w:t>
      </w:r>
    </w:p>
    <w:p>
      <w:pPr>
        <w:pStyle w:val="2"/>
        <w:keepNext w:val="0"/>
        <w:keepLines w:val="0"/>
        <w:pageBreakBefore w:val="0"/>
        <w:widowControl w:val="0"/>
        <w:kinsoku/>
        <w:wordWrap/>
        <w:topLinePunct w:val="0"/>
        <w:bidi w:val="0"/>
        <w:spacing w:line="600" w:lineRule="exact"/>
        <w:textAlignment w:val="auto"/>
        <w:rPr>
          <w:rFonts w:hint="eastAsia"/>
          <w:sz w:val="32"/>
          <w:szCs w:val="32"/>
        </w:rPr>
      </w:pPr>
      <w:bookmarkStart w:id="2" w:name="_GoBack"/>
      <w:bookmarkEnd w:id="2"/>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rPr>
      </w:pPr>
      <w:r>
        <w:rPr>
          <w:rFonts w:hint="eastAsia" w:eastAsia="仿宋_GB2312"/>
          <w:kern w:val="2"/>
          <w:sz w:val="32"/>
          <w:szCs w:val="32"/>
        </w:rPr>
        <w:t>根据《</w:t>
      </w:r>
      <w:r>
        <w:rPr>
          <w:rFonts w:hint="eastAsia" w:eastAsia="仿宋_GB2312"/>
          <w:kern w:val="2"/>
          <w:sz w:val="32"/>
          <w:szCs w:val="32"/>
          <w:lang w:eastAsia="zh-CN"/>
        </w:rPr>
        <w:t>中华人民共和国</w:t>
      </w:r>
      <w:r>
        <w:rPr>
          <w:rFonts w:hint="eastAsia" w:eastAsia="仿宋_GB2312"/>
          <w:kern w:val="2"/>
          <w:sz w:val="32"/>
          <w:szCs w:val="32"/>
        </w:rPr>
        <w:t>反垄断法》</w:t>
      </w:r>
      <w:r>
        <w:rPr>
          <w:rFonts w:hint="eastAsia" w:eastAsia="仿宋_GB2312"/>
          <w:kern w:val="2"/>
          <w:sz w:val="32"/>
          <w:szCs w:val="32"/>
          <w:lang w:eastAsia="zh-CN"/>
        </w:rPr>
        <w:t>（以下简称《反垄断法》）、《经营者集中审查暂行规定》</w:t>
      </w:r>
      <w:r>
        <w:rPr>
          <w:rFonts w:hint="eastAsia" w:eastAsia="仿宋_GB2312"/>
          <w:kern w:val="2"/>
          <w:sz w:val="32"/>
          <w:szCs w:val="32"/>
        </w:rPr>
        <w:t>，本机关于</w:t>
      </w:r>
      <w:r>
        <w:rPr>
          <w:rFonts w:hint="eastAsia" w:eastAsia="仿宋_GB2312"/>
          <w:kern w:val="2"/>
          <w:sz w:val="32"/>
          <w:szCs w:val="32"/>
          <w:lang w:val="en-US" w:eastAsia="zh-CN"/>
        </w:rPr>
        <w:t>2021年3月11日</w:t>
      </w:r>
      <w:r>
        <w:rPr>
          <w:rFonts w:hint="default" w:ascii="Times New Roman" w:hAnsi="Times New Roman" w:eastAsia="仿宋_GB2312" w:cs="Times New Roman"/>
          <w:kern w:val="2"/>
          <w:sz w:val="32"/>
          <w:szCs w:val="32"/>
          <w:lang w:eastAsia="zh-CN"/>
        </w:rPr>
        <w:t>对</w:t>
      </w:r>
      <w:r>
        <w:rPr>
          <w:rFonts w:hint="default" w:ascii="Times New Roman" w:hAnsi="Times New Roman" w:eastAsia="仿宋_GB2312" w:cs="Times New Roman"/>
          <w:bCs/>
          <w:sz w:val="32"/>
          <w:szCs w:val="32"/>
          <w:lang w:val="en-US" w:eastAsia="zh-CN"/>
        </w:rPr>
        <w:t>腾讯控股有限公司（Tencent Holdings Limited，以下简称腾讯）收购上海阑途信息技术有限公司（以下简称途虎）股权涉嫌违法实施经营者集中案</w:t>
      </w:r>
      <w:r>
        <w:rPr>
          <w:rFonts w:hint="default" w:ascii="Times New Roman" w:hAnsi="Times New Roman" w:eastAsia="仿宋_GB2312" w:cs="Times New Roman"/>
          <w:kern w:val="2"/>
          <w:sz w:val="32"/>
          <w:szCs w:val="32"/>
        </w:rPr>
        <w:t>进行立案调查。</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rPr>
      </w:pPr>
      <w:r>
        <w:rPr>
          <w:rFonts w:hint="eastAsia" w:eastAsia="仿宋_GB2312"/>
          <w:kern w:val="2"/>
          <w:sz w:val="32"/>
          <w:szCs w:val="32"/>
        </w:rPr>
        <w:t>经查，该案构成未依法申报违法实施的经营者集中，但不具有排除、限制竞争的效果。本机关按照《</w:t>
      </w:r>
      <w:r>
        <w:rPr>
          <w:rFonts w:hint="eastAsia" w:eastAsia="仿宋_GB2312"/>
          <w:kern w:val="2"/>
          <w:sz w:val="32"/>
          <w:szCs w:val="32"/>
          <w:lang w:eastAsia="zh-CN"/>
        </w:rPr>
        <w:t>中华人民共和国</w:t>
      </w:r>
      <w:r>
        <w:rPr>
          <w:rFonts w:hint="eastAsia" w:eastAsia="仿宋_GB2312"/>
          <w:kern w:val="2"/>
          <w:sz w:val="32"/>
          <w:szCs w:val="32"/>
        </w:rPr>
        <w:t>行政处罚法》</w:t>
      </w:r>
      <w:r>
        <w:rPr>
          <w:rFonts w:hint="default" w:ascii="Times New Roman" w:hAnsi="Times New Roman" w:eastAsia="仿宋_GB2312" w:cs="Times New Roman"/>
          <w:sz w:val="32"/>
          <w:szCs w:val="32"/>
          <w:lang w:eastAsia="zh-CN"/>
        </w:rPr>
        <w:t>（以下简称</w:t>
      </w:r>
      <w:r>
        <w:rPr>
          <w:rFonts w:hint="eastAsia" w:eastAsia="仿宋_GB2312"/>
          <w:kern w:val="2"/>
          <w:sz w:val="32"/>
          <w:szCs w:val="32"/>
        </w:rPr>
        <w:t>《行政处罚法》</w:t>
      </w:r>
      <w:r>
        <w:rPr>
          <w:rFonts w:hint="default" w:ascii="Times New Roman" w:hAnsi="Times New Roman" w:eastAsia="仿宋_GB2312" w:cs="Times New Roman"/>
          <w:sz w:val="32"/>
          <w:szCs w:val="32"/>
          <w:lang w:eastAsia="zh-CN"/>
        </w:rPr>
        <w:t>）</w:t>
      </w:r>
      <w:r>
        <w:rPr>
          <w:rFonts w:hint="eastAsia" w:eastAsia="仿宋_GB2312"/>
          <w:kern w:val="2"/>
          <w:sz w:val="32"/>
          <w:szCs w:val="32"/>
        </w:rPr>
        <w:t>的规定，向</w:t>
      </w:r>
      <w:r>
        <w:rPr>
          <w:rFonts w:hint="eastAsia" w:eastAsia="仿宋_GB2312" w:cs="Times New Roman"/>
          <w:sz w:val="32"/>
          <w:szCs w:val="32"/>
          <w:lang w:eastAsia="zh-CN"/>
        </w:rPr>
        <w:t>腾讯</w:t>
      </w:r>
      <w:r>
        <w:rPr>
          <w:rFonts w:hint="eastAsia" w:eastAsia="仿宋_GB2312"/>
          <w:kern w:val="2"/>
          <w:sz w:val="32"/>
          <w:szCs w:val="32"/>
        </w:rPr>
        <w:t>送达了《行政处罚告知书》，告知其拟作出行政处罚决定的事实、理由、证据、处罚内容，以及其依法享有的陈述权、申辩权和要求听证权。</w:t>
      </w:r>
      <w:r>
        <w:rPr>
          <w:rFonts w:hint="eastAsia" w:eastAsia="仿宋_GB2312" w:cs="Times New Roman"/>
          <w:sz w:val="32"/>
          <w:szCs w:val="32"/>
          <w:lang w:eastAsia="zh-CN"/>
        </w:rPr>
        <w:t>腾讯</w:t>
      </w:r>
      <w:r>
        <w:rPr>
          <w:rFonts w:hint="eastAsia" w:eastAsia="仿宋_GB2312"/>
          <w:kern w:val="2"/>
          <w:sz w:val="32"/>
          <w:szCs w:val="32"/>
        </w:rPr>
        <w:t>在规定期限内没有提出陈述、申辩意见或要求举行听证。本案现已调查、审理终结。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default" w:ascii="Times New Roman" w:hAnsi="Times New Roman" w:eastAsia="黑体" w:cs="Times New Roman"/>
          <w:bCs/>
          <w:sz w:val="32"/>
          <w:szCs w:val="32"/>
        </w:rPr>
      </w:pPr>
      <w:r>
        <w:rPr>
          <w:rFonts w:hint="default" w:ascii="Times New Roman" w:hAnsi="Times New Roman" w:eastAsia="黑体" w:cs="Times New Roman"/>
          <w:bCs/>
          <w:sz w:val="32"/>
          <w:szCs w:val="32"/>
          <w:lang w:eastAsia="zh-CN"/>
        </w:rPr>
        <w:t>一、</w:t>
      </w:r>
      <w:r>
        <w:rPr>
          <w:rFonts w:hint="default" w:ascii="Times New Roman" w:hAnsi="Times New Roman" w:eastAsia="黑体" w:cs="Times New Roman"/>
          <w:bCs/>
          <w:sz w:val="32"/>
          <w:szCs w:val="32"/>
        </w:rPr>
        <w:t>基本情况</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default" w:ascii="Times New Roman" w:hAnsi="Times New Roman" w:eastAsia="楷体_GB2312" w:cs="Times New Roman"/>
          <w:b w:val="0"/>
          <w:bCs/>
          <w:sz w:val="32"/>
          <w:szCs w:val="32"/>
        </w:rPr>
      </w:pPr>
      <w:r>
        <w:rPr>
          <w:rFonts w:hint="default" w:ascii="Times New Roman" w:hAnsi="Times New Roman" w:eastAsia="楷体_GB2312" w:cs="Times New Roman"/>
          <w:b w:val="0"/>
          <w:bCs/>
          <w:sz w:val="32"/>
          <w:szCs w:val="32"/>
        </w:rPr>
        <w:t>（一）交易方。</w:t>
      </w:r>
    </w:p>
    <w:p>
      <w:pPr>
        <w:pStyle w:val="10"/>
        <w:adjustRightInd/>
        <w:spacing w:line="240" w:lineRule="auto"/>
        <w:ind w:firstLine="643"/>
        <w:rPr>
          <w:rFonts w:ascii="Times New Roman" w:hAnsi="Times New Roman"/>
          <w:bCs/>
          <w:sz w:val="32"/>
          <w:szCs w:val="32"/>
        </w:rPr>
      </w:pPr>
      <w:r>
        <w:rPr>
          <w:rFonts w:hint="eastAsia" w:ascii="Times New Roman" w:hAnsi="Times New Roman"/>
          <w:b/>
          <w:sz w:val="32"/>
          <w:szCs w:val="32"/>
        </w:rPr>
        <w:t>收购方</w:t>
      </w:r>
      <w:r>
        <w:rPr>
          <w:rFonts w:ascii="Times New Roman" w:hAnsi="Times New Roman"/>
          <w:b/>
          <w:sz w:val="32"/>
          <w:szCs w:val="32"/>
        </w:rPr>
        <w:t>：</w:t>
      </w:r>
      <w:r>
        <w:rPr>
          <w:rFonts w:hint="eastAsia" w:ascii="Times New Roman" w:hAnsi="Times New Roman"/>
          <w:b/>
          <w:sz w:val="32"/>
          <w:szCs w:val="32"/>
        </w:rPr>
        <w:t>腾讯</w:t>
      </w:r>
      <w:r>
        <w:rPr>
          <w:rFonts w:ascii="Times New Roman" w:hAnsi="Times New Roman"/>
          <w:sz w:val="32"/>
          <w:szCs w:val="32"/>
        </w:rPr>
        <w:t>。</w:t>
      </w:r>
      <w:r>
        <w:rPr>
          <w:rFonts w:hint="eastAsia" w:ascii="Times New Roman" w:hAnsi="Times New Roman"/>
          <w:bCs/>
          <w:sz w:val="32"/>
          <w:szCs w:val="32"/>
        </w:rPr>
        <w:t>1999年11月在英属维尔京群岛注册成立，2004年2月迁册至英属开曼群岛，2004年6月在香港联交所上市，通过协议控制境内主要运营实体深圳市腾讯计算机系统有限公司。主要业务包括社交和通信服务、社交网络平台、游戏、网络视频服务、互动娱乐直播等，2018年全球营业额为</w:t>
      </w:r>
      <w:r>
        <w:rPr>
          <w:rFonts w:hint="eastAsia" w:ascii="Times New Roman" w:hAnsi="Times New Roman"/>
          <w:bCs/>
          <w:sz w:val="32"/>
          <w:szCs w:val="32"/>
          <w:lang w:eastAsia="zh-CN"/>
        </w:rPr>
        <w:t>（略）</w:t>
      </w:r>
      <w:r>
        <w:rPr>
          <w:rFonts w:hint="eastAsia" w:ascii="Times New Roman" w:hAnsi="Times New Roman"/>
          <w:bCs/>
          <w:sz w:val="32"/>
          <w:szCs w:val="32"/>
        </w:rPr>
        <w:t>人民币（币种下同），中国境内营业额为</w:t>
      </w:r>
      <w:r>
        <w:rPr>
          <w:rFonts w:hint="eastAsia" w:ascii="Times New Roman" w:hAnsi="Times New Roman"/>
          <w:bCs/>
          <w:sz w:val="32"/>
          <w:szCs w:val="32"/>
          <w:lang w:eastAsia="zh-CN"/>
        </w:rPr>
        <w:t>（略）</w:t>
      </w:r>
      <w:r>
        <w:rPr>
          <w:rFonts w:hint="eastAsia" w:ascii="Times New Roman" w:hAnsi="Times New Roman"/>
          <w:bCs/>
          <w:sz w:val="32"/>
          <w:szCs w:val="32"/>
        </w:rPr>
        <w:t>。</w:t>
      </w:r>
    </w:p>
    <w:p>
      <w:pPr>
        <w:pStyle w:val="10"/>
        <w:adjustRightInd/>
        <w:spacing w:line="240" w:lineRule="auto"/>
        <w:ind w:firstLine="643"/>
        <w:rPr>
          <w:rFonts w:hint="eastAsia" w:ascii="Times New Roman" w:hAnsi="Times New Roman"/>
          <w:b w:val="0"/>
          <w:bCs w:val="0"/>
          <w:sz w:val="32"/>
          <w:szCs w:val="32"/>
        </w:rPr>
      </w:pPr>
      <w:r>
        <w:rPr>
          <w:rFonts w:hint="eastAsia" w:ascii="Times New Roman" w:hAnsi="Times New Roman"/>
          <w:b/>
          <w:sz w:val="32"/>
          <w:szCs w:val="32"/>
        </w:rPr>
        <w:t>被收购方</w:t>
      </w:r>
      <w:r>
        <w:rPr>
          <w:rFonts w:ascii="Times New Roman" w:hAnsi="Times New Roman"/>
          <w:b/>
          <w:sz w:val="32"/>
          <w:szCs w:val="32"/>
        </w:rPr>
        <w:t>：</w:t>
      </w:r>
      <w:r>
        <w:rPr>
          <w:rFonts w:hint="eastAsia" w:ascii="Times New Roman" w:hAnsi="Times New Roman"/>
          <w:b/>
          <w:bCs/>
          <w:sz w:val="32"/>
          <w:szCs w:val="32"/>
        </w:rPr>
        <w:t>途虎。</w:t>
      </w:r>
      <w:r>
        <w:rPr>
          <w:rFonts w:hint="eastAsia" w:ascii="Times New Roman" w:hAnsi="Times New Roman"/>
          <w:b w:val="0"/>
          <w:bCs w:val="0"/>
          <w:sz w:val="32"/>
          <w:szCs w:val="32"/>
        </w:rPr>
        <w:t>2014年于上海注册成立，最终控制人是（略），主要从事车辆保养业务，2018年全球和中国境内营业额均为（略）。</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default" w:ascii="Times New Roman" w:hAnsi="Times New Roman" w:eastAsia="楷体_GB2312" w:cs="Times New Roman"/>
          <w:b w:val="0"/>
          <w:bCs/>
          <w:sz w:val="32"/>
          <w:szCs w:val="32"/>
        </w:rPr>
      </w:pPr>
      <w:r>
        <w:rPr>
          <w:rFonts w:hint="default" w:ascii="Times New Roman" w:hAnsi="Times New Roman" w:eastAsia="楷体_GB2312" w:cs="Times New Roman"/>
          <w:b w:val="0"/>
          <w:bCs/>
          <w:sz w:val="32"/>
          <w:szCs w:val="32"/>
        </w:rPr>
        <w:t>（二）交易概况。</w:t>
      </w:r>
    </w:p>
    <w:p>
      <w:pPr>
        <w:keepNext w:val="0"/>
        <w:keepLines w:val="0"/>
        <w:pageBreakBefore w:val="0"/>
        <w:widowControl w:val="0"/>
        <w:kinsoku/>
        <w:wordWrap/>
        <w:topLinePunct w:val="0"/>
        <w:bidi w:val="0"/>
        <w:spacing w:line="600" w:lineRule="exact"/>
        <w:ind w:firstLine="628"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rPr>
        <w:t>本交易系股权收购。2018年7月11日，腾讯与途虎等相关方签署《增资协议》，收购途虎13.88%的股权。2019年10月31日，腾讯与相关方签署协议再次投资，并于2019年11月18日完成交割。交易完成后，腾讯合计持有途虎18.34%的股权，获得控制权。本次交易金额为9.8亿元。</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二、违法事实及理由</w:t>
      </w:r>
    </w:p>
    <w:p>
      <w:pPr>
        <w:keepNext w:val="0"/>
        <w:keepLines w:val="0"/>
        <w:pageBreakBefore w:val="0"/>
        <w:widowControl w:val="0"/>
        <w:kinsoku/>
        <w:wordWrap/>
        <w:topLinePunct w:val="0"/>
        <w:bidi w:val="0"/>
        <w:snapToGrid/>
        <w:spacing w:line="600" w:lineRule="exact"/>
        <w:ind w:firstLine="628" w:firstLineChars="200"/>
        <w:textAlignment w:val="auto"/>
        <w:outlineLvl w:val="0"/>
        <w:rPr>
          <w:rFonts w:hint="default" w:ascii="Times New Roman" w:hAnsi="Times New Roman" w:eastAsia="楷体_GB2312" w:cs="Times New Roman"/>
          <w:b w:val="0"/>
          <w:bCs w:val="0"/>
          <w:sz w:val="32"/>
          <w:szCs w:val="32"/>
        </w:rPr>
      </w:pPr>
      <w:r>
        <w:rPr>
          <w:rFonts w:hint="default" w:ascii="Times New Roman" w:hAnsi="Times New Roman" w:eastAsia="楷体_GB2312" w:cs="Times New Roman"/>
          <w:b w:val="0"/>
          <w:bCs w:val="0"/>
          <w:sz w:val="32"/>
          <w:szCs w:val="32"/>
        </w:rPr>
        <w:t>（一）本案构成未依法申报</w:t>
      </w:r>
      <w:r>
        <w:rPr>
          <w:rFonts w:hint="eastAsia" w:ascii="Times New Roman" w:hAnsi="Times New Roman" w:eastAsia="楷体_GB2312" w:cs="Times New Roman"/>
          <w:b w:val="0"/>
          <w:bCs w:val="0"/>
          <w:sz w:val="32"/>
          <w:szCs w:val="32"/>
          <w:lang w:eastAsia="zh-CN"/>
        </w:rPr>
        <w:t>违法</w:t>
      </w:r>
      <w:r>
        <w:rPr>
          <w:rFonts w:hint="default" w:ascii="Times New Roman" w:hAnsi="Times New Roman" w:eastAsia="楷体_GB2312" w:cs="Times New Roman"/>
          <w:b w:val="0"/>
          <w:bCs w:val="0"/>
          <w:sz w:val="32"/>
          <w:szCs w:val="32"/>
        </w:rPr>
        <w:t>实施的经营者集中。</w:t>
      </w:r>
    </w:p>
    <w:p>
      <w:pPr>
        <w:keepNext w:val="0"/>
        <w:keepLines w:val="0"/>
        <w:pageBreakBefore w:val="0"/>
        <w:widowControl w:val="0"/>
        <w:kinsoku/>
        <w:wordWrap/>
        <w:topLinePunct w:val="0"/>
        <w:bidi w:val="0"/>
        <w:spacing w:line="600" w:lineRule="exact"/>
        <w:ind w:firstLine="628"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《反垄断法》第二十条规定</w:t>
      </w:r>
      <w:r>
        <w:rPr>
          <w:rFonts w:hint="default" w:ascii="Times New Roman" w:hAnsi="Times New Roman" w:eastAsia="仿宋_GB2312" w:cs="Times New Roman"/>
          <w:sz w:val="32"/>
          <w:szCs w:val="32"/>
          <w:lang w:val="en-US" w:eastAsia="zh-CN"/>
        </w:rPr>
        <w:t>“经营者集中是指下列情形：（一）经营者合并；（二）经营者通过取得股权或者资产的方式取得对其他经营者的控制权；（三）经营者通过合同等方式取得对其他经营者的控制权或者能够对其他经营者施加决定性影响”。</w:t>
      </w:r>
      <w:bookmarkStart w:id="0" w:name="OLE_LINK48"/>
      <w:r>
        <w:rPr>
          <w:rFonts w:hint="default" w:ascii="Times New Roman" w:hAnsi="Times New Roman" w:eastAsia="仿宋_GB2312" w:cs="Times New Roman"/>
          <w:sz w:val="32"/>
          <w:szCs w:val="32"/>
          <w:lang w:val="en-US" w:eastAsia="zh-CN"/>
        </w:rPr>
        <w:t>腾讯收购途虎18.34%股权，并取得对途虎的控制权，</w:t>
      </w:r>
      <w:r>
        <w:rPr>
          <w:rFonts w:hint="default" w:ascii="Times New Roman" w:hAnsi="Times New Roman" w:eastAsia="仿宋_GB2312" w:cs="Times New Roman"/>
          <w:sz w:val="32"/>
          <w:szCs w:val="32"/>
          <w:lang w:eastAsia="zh-CN"/>
        </w:rPr>
        <w:t>属于《反垄断法》第二十条规定的经营者集中。</w:t>
      </w:r>
      <w:bookmarkEnd w:id="0"/>
    </w:p>
    <w:p>
      <w:pPr>
        <w:keepNext w:val="0"/>
        <w:keepLines w:val="0"/>
        <w:pageBreakBefore w:val="0"/>
        <w:widowControl w:val="0"/>
        <w:kinsoku/>
        <w:wordWrap/>
        <w:topLinePunct w:val="0"/>
        <w:bidi w:val="0"/>
        <w:spacing w:line="600" w:lineRule="exact"/>
        <w:ind w:firstLine="628" w:firstLineChars="200"/>
        <w:textAlignment w:val="auto"/>
        <w:rPr>
          <w:rFonts w:hint="default" w:ascii="Times New Roman" w:hAnsi="Times New Roman" w:eastAsia="仿宋_GB2312" w:cs="Times New Roman"/>
          <w:sz w:val="32"/>
          <w:szCs w:val="32"/>
          <w:lang w:eastAsia="zh-CN"/>
        </w:rPr>
      </w:pPr>
      <w:bookmarkStart w:id="1" w:name="OLE_LINK49"/>
      <w:r>
        <w:rPr>
          <w:rFonts w:hint="default" w:ascii="Times New Roman" w:hAnsi="Times New Roman" w:eastAsia="仿宋_GB2312" w:cs="Times New Roman"/>
          <w:sz w:val="32"/>
          <w:szCs w:val="32"/>
          <w:lang w:eastAsia="zh-CN"/>
        </w:rPr>
        <w:t>腾讯2018年全球营</w:t>
      </w:r>
      <w:r>
        <w:rPr>
          <w:rFonts w:hint="eastAsia" w:ascii="仿宋_GB2312" w:hAnsi="仿宋_GB2312" w:eastAsia="仿宋_GB2312" w:cs="仿宋_GB2312"/>
          <w:sz w:val="32"/>
          <w:szCs w:val="32"/>
          <w:lang w:eastAsia="zh-CN"/>
        </w:rPr>
        <w:t>业额为</w:t>
      </w:r>
      <w:r>
        <w:rPr>
          <w:rFonts w:hint="eastAsia" w:ascii="仿宋_GB2312" w:hAnsi="仿宋_GB2312" w:eastAsia="仿宋_GB2312" w:cs="仿宋_GB2312"/>
          <w:bCs/>
          <w:sz w:val="32"/>
          <w:szCs w:val="32"/>
          <w:lang w:eastAsia="zh-CN"/>
        </w:rPr>
        <w:t>（略）</w:t>
      </w:r>
      <w:r>
        <w:rPr>
          <w:rFonts w:hint="eastAsia" w:ascii="仿宋_GB2312" w:hAnsi="仿宋_GB2312" w:eastAsia="仿宋_GB2312" w:cs="仿宋_GB2312"/>
          <w:sz w:val="32"/>
          <w:szCs w:val="32"/>
          <w:lang w:eastAsia="zh-CN"/>
        </w:rPr>
        <w:t>，中国境内营业额为</w:t>
      </w:r>
      <w:r>
        <w:rPr>
          <w:rFonts w:hint="eastAsia" w:ascii="仿宋_GB2312" w:hAnsi="仿宋_GB2312" w:eastAsia="仿宋_GB2312" w:cs="仿宋_GB2312"/>
          <w:bCs/>
          <w:sz w:val="32"/>
          <w:szCs w:val="32"/>
          <w:lang w:eastAsia="zh-CN"/>
        </w:rPr>
        <w:t>（略）</w:t>
      </w:r>
      <w:r>
        <w:rPr>
          <w:rFonts w:hint="eastAsia" w:ascii="仿宋_GB2312" w:hAnsi="仿宋_GB2312" w:eastAsia="仿宋_GB2312" w:cs="仿宋_GB2312"/>
          <w:sz w:val="32"/>
          <w:szCs w:val="32"/>
          <w:lang w:eastAsia="zh-CN"/>
        </w:rPr>
        <w:t>；</w:t>
      </w:r>
      <w:r>
        <w:rPr>
          <w:rFonts w:hint="default" w:ascii="Times New Roman" w:hAnsi="Times New Roman" w:eastAsia="仿宋_GB2312" w:cs="Times New Roman"/>
          <w:sz w:val="32"/>
          <w:szCs w:val="32"/>
          <w:lang w:eastAsia="zh-CN"/>
        </w:rPr>
        <w:t>途虎2018年</w:t>
      </w:r>
      <w:r>
        <w:rPr>
          <w:rFonts w:hint="eastAsia" w:ascii="仿宋_GB2312" w:hAnsi="仿宋_GB2312" w:eastAsia="仿宋_GB2312" w:cs="仿宋_GB2312"/>
          <w:sz w:val="32"/>
          <w:szCs w:val="32"/>
          <w:lang w:eastAsia="zh-CN"/>
        </w:rPr>
        <w:t>全球和中国境内营业额均为</w:t>
      </w:r>
      <w:r>
        <w:rPr>
          <w:rFonts w:hint="eastAsia" w:ascii="仿宋_GB2312" w:hAnsi="仿宋_GB2312" w:eastAsia="仿宋_GB2312" w:cs="仿宋_GB2312"/>
          <w:bCs/>
          <w:sz w:val="32"/>
          <w:szCs w:val="32"/>
          <w:lang w:eastAsia="zh-CN"/>
        </w:rPr>
        <w:t>（略）</w:t>
      </w:r>
      <w:r>
        <w:rPr>
          <w:rFonts w:hint="default" w:ascii="Times New Roman" w:hAnsi="Times New Roman" w:eastAsia="仿宋_GB2312" w:cs="Times New Roman"/>
          <w:sz w:val="32"/>
          <w:szCs w:val="32"/>
          <w:lang w:eastAsia="zh-CN"/>
        </w:rPr>
        <w:t>，达到《国务院关于经营者集中申报标准的规定》第三条规定的申报标准，属于应当申报的情形。</w:t>
      </w:r>
      <w:bookmarkEnd w:id="1"/>
    </w:p>
    <w:p>
      <w:pPr>
        <w:keepNext w:val="0"/>
        <w:keepLines w:val="0"/>
        <w:pageBreakBefore w:val="0"/>
        <w:widowControl w:val="0"/>
        <w:kinsoku/>
        <w:wordWrap/>
        <w:topLinePunct w:val="0"/>
        <w:bidi w:val="0"/>
        <w:spacing w:line="600" w:lineRule="exact"/>
        <w:ind w:firstLine="628" w:firstLineChars="200"/>
        <w:textAlignment w:val="auto"/>
        <w:rPr>
          <w:rFonts w:hint="default" w:ascii="Times New Roman" w:hAnsi="Times New Roman" w:eastAsia="宋体" w:cs="Times New Roman"/>
          <w:sz w:val="32"/>
          <w:szCs w:val="32"/>
        </w:rPr>
      </w:pPr>
      <w:r>
        <w:rPr>
          <w:rFonts w:hint="default" w:ascii="Times New Roman" w:hAnsi="Times New Roman" w:eastAsia="仿宋_GB2312" w:cs="Times New Roman"/>
          <w:sz w:val="32"/>
          <w:szCs w:val="32"/>
          <w:lang w:eastAsia="zh-CN"/>
        </w:rPr>
        <w:t>《反垄断法》第二十一条规定“经营者集中达到国务院规定的申报标准的，经营者应当事先向国务院反垄断执法机构申报，未申报的不得实施集中”。2019年11月18日</w:t>
      </w:r>
      <w:r>
        <w:rPr>
          <w:rFonts w:hint="eastAsia" w:eastAsia="仿宋_GB2312" w:cs="Times New Roman"/>
          <w:sz w:val="32"/>
          <w:szCs w:val="32"/>
          <w:lang w:eastAsia="zh-CN"/>
        </w:rPr>
        <w:t>，</w:t>
      </w:r>
      <w:r>
        <w:rPr>
          <w:rFonts w:hint="default" w:ascii="Times New Roman" w:hAnsi="Times New Roman" w:eastAsia="仿宋_GB2312" w:cs="Times New Roman"/>
          <w:sz w:val="32"/>
          <w:szCs w:val="32"/>
          <w:lang w:eastAsia="zh-CN"/>
        </w:rPr>
        <w:t>腾讯与相关方完成交割，在此之前未向本机关申报，违反《反垄断法》第</w:t>
      </w:r>
      <w:r>
        <w:rPr>
          <w:rFonts w:hint="default" w:ascii="Times New Roman" w:hAnsi="Times New Roman" w:eastAsia="仿宋_GB2312" w:cs="Times New Roman"/>
          <w:sz w:val="32"/>
          <w:szCs w:val="32"/>
          <w:lang w:val="en-US" w:eastAsia="zh-CN"/>
        </w:rPr>
        <w:t>二十一</w:t>
      </w:r>
      <w:r>
        <w:rPr>
          <w:rFonts w:hint="default" w:ascii="Times New Roman" w:hAnsi="Times New Roman" w:eastAsia="仿宋_GB2312" w:cs="Times New Roman"/>
          <w:sz w:val="32"/>
          <w:szCs w:val="32"/>
          <w:lang w:eastAsia="zh-CN"/>
        </w:rPr>
        <w:t>条，构成未依法申报违法实施的经营者集中。</w:t>
      </w:r>
    </w:p>
    <w:p>
      <w:pPr>
        <w:keepNext w:val="0"/>
        <w:keepLines w:val="0"/>
        <w:pageBreakBefore w:val="0"/>
        <w:widowControl w:val="0"/>
        <w:kinsoku/>
        <w:wordWrap/>
        <w:topLinePunct w:val="0"/>
        <w:bidi w:val="0"/>
        <w:snapToGrid/>
        <w:spacing w:line="600" w:lineRule="exact"/>
        <w:ind w:firstLine="628" w:firstLineChars="200"/>
        <w:textAlignment w:val="auto"/>
        <w:outlineLvl w:val="0"/>
        <w:rPr>
          <w:rFonts w:hint="default" w:ascii="Times New Roman" w:hAnsi="Times New Roman" w:eastAsia="楷体_GB2312" w:cs="Times New Roman"/>
          <w:b w:val="0"/>
          <w:bCs w:val="0"/>
          <w:sz w:val="32"/>
          <w:szCs w:val="32"/>
        </w:rPr>
      </w:pPr>
      <w:r>
        <w:rPr>
          <w:rFonts w:hint="default" w:ascii="Times New Roman" w:hAnsi="Times New Roman" w:eastAsia="楷体_GB2312" w:cs="Times New Roman"/>
          <w:b w:val="0"/>
          <w:bCs w:val="0"/>
          <w:sz w:val="32"/>
          <w:szCs w:val="32"/>
        </w:rPr>
        <w:t>（二）本案不具有排除、限制竞争的效果。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w:t>
      </w:r>
      <w:r>
        <w:rPr>
          <w:rFonts w:hint="eastAsia" w:eastAsia="仿宋_GB2312" w:cs="Times New Roman"/>
          <w:kern w:val="2"/>
          <w:sz w:val="32"/>
          <w:szCs w:val="32"/>
          <w:lang w:eastAsia="zh-CN"/>
        </w:rPr>
        <w:t>腾讯收购途虎股权</w:t>
      </w:r>
      <w:r>
        <w:rPr>
          <w:rFonts w:hint="default" w:ascii="Times New Roman" w:hAnsi="Times New Roman" w:eastAsia="仿宋_GB2312" w:cs="Times New Roman"/>
          <w:kern w:val="2"/>
          <w:sz w:val="32"/>
          <w:szCs w:val="32"/>
        </w:rPr>
        <w:t>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三、行政处罚依据和决定</w:t>
      </w:r>
    </w:p>
    <w:p>
      <w:pPr>
        <w:keepNext w:val="0"/>
        <w:keepLines w:val="0"/>
        <w:pageBreakBefore w:val="0"/>
        <w:widowControl w:val="0"/>
        <w:kinsoku/>
        <w:wordWrap/>
        <w:topLinePunct w:val="0"/>
        <w:bidi w:val="0"/>
        <w:spacing w:line="600"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kinsoku/>
        <w:wordWrap/>
        <w:topLinePunct w:val="0"/>
        <w:bidi w:val="0"/>
        <w:spacing w:line="600" w:lineRule="exact"/>
        <w:ind w:firstLine="616" w:firstLineChars="196"/>
        <w:textAlignment w:val="auto"/>
        <w:rPr>
          <w:rFonts w:hint="eastAsia" w:eastAsia="仿宋_GB2312"/>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eastAsia" w:eastAsia="仿宋_GB2312"/>
          <w:kern w:val="2"/>
          <w:sz w:val="32"/>
          <w:szCs w:val="32"/>
        </w:rPr>
        <w:t>基于上述调查情况和评估结论，本机关</w:t>
      </w:r>
      <w:r>
        <w:rPr>
          <w:rFonts w:hint="default" w:ascii="Times New Roman" w:hAnsi="Times New Roman" w:eastAsia="仿宋_GB2312" w:cs="Times New Roman"/>
          <w:bCs/>
          <w:color w:val="000000"/>
          <w:kern w:val="2"/>
          <w:sz w:val="32"/>
          <w:szCs w:val="32"/>
        </w:rPr>
        <w:t>给予</w:t>
      </w:r>
      <w:r>
        <w:rPr>
          <w:rFonts w:hint="eastAsia" w:eastAsia="仿宋_GB2312" w:cs="Times New Roman"/>
          <w:bCs/>
          <w:color w:val="000000"/>
          <w:kern w:val="2"/>
          <w:sz w:val="32"/>
          <w:szCs w:val="32"/>
          <w:lang w:val="en-US" w:eastAsia="zh-CN"/>
        </w:rPr>
        <w:t>腾讯</w:t>
      </w:r>
      <w:r>
        <w:rPr>
          <w:rFonts w:hint="eastAsia" w:ascii="Times New Roman" w:hAnsi="Times New Roman" w:eastAsia="仿宋_GB2312" w:cs="Times New Roman"/>
          <w:bCs/>
          <w:color w:val="000000"/>
          <w:kern w:val="2"/>
          <w:sz w:val="32"/>
          <w:szCs w:val="32"/>
          <w:lang w:val="en-US" w:eastAsia="zh-CN"/>
        </w:rPr>
        <w:t>50万元</w:t>
      </w:r>
      <w:r>
        <w:rPr>
          <w:rFonts w:hint="default" w:ascii="Times New Roman" w:hAnsi="Times New Roman" w:eastAsia="仿宋_GB2312" w:cs="Times New Roman"/>
          <w:bCs/>
          <w:color w:val="000000"/>
          <w:kern w:val="2"/>
          <w:sz w:val="32"/>
          <w:szCs w:val="32"/>
        </w:rPr>
        <w:t>罚款的行政处罚。</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lang w:eastAsia="zh-CN"/>
        </w:rPr>
      </w:pPr>
      <w:r>
        <w:rPr>
          <w:rFonts w:hint="eastAsia" w:eastAsia="仿宋_GB2312"/>
          <w:kern w:val="2"/>
          <w:sz w:val="32"/>
          <w:szCs w:val="32"/>
        </w:rPr>
        <w:t>《行政处罚法》第四十六条规定</w:t>
      </w:r>
      <w:r>
        <w:rPr>
          <w:rFonts w:hint="eastAsia" w:eastAsia="仿宋_GB2312"/>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rPr>
      </w:pPr>
      <w:r>
        <w:rPr>
          <w:rFonts w:hint="eastAsia" w:eastAsia="仿宋_GB2312"/>
          <w:kern w:val="2"/>
          <w:sz w:val="32"/>
          <w:szCs w:val="32"/>
          <w:lang w:eastAsia="zh-CN"/>
        </w:rPr>
        <w:t>当事人</w:t>
      </w:r>
      <w:r>
        <w:rPr>
          <w:rFonts w:hint="eastAsia" w:eastAsia="仿宋_GB2312"/>
          <w:kern w:val="2"/>
          <w:sz w:val="32"/>
          <w:szCs w:val="32"/>
        </w:rPr>
        <w:t>应当自收到本行政处罚决定书之日起十五日内，根据本行政处罚决定书，携缴款码到12家中央财政非税收入收缴代理银行（工、农、中、建、交、中信、光大、招商、邮储、华夏、平安、兴业）任一银行网点或者网上银行交纳罚款。缴款码</w:t>
      </w:r>
      <w:r>
        <w:rPr>
          <w:rFonts w:hint="eastAsia" w:eastAsia="仿宋_GB2312"/>
          <w:kern w:val="2"/>
          <w:sz w:val="32"/>
          <w:szCs w:val="32"/>
          <w:lang w:eastAsia="zh-CN"/>
        </w:rPr>
        <w:t>为</w:t>
      </w:r>
      <w:r>
        <w:rPr>
          <w:rFonts w:hint="eastAsia" w:eastAsia="仿宋_GB2312"/>
          <w:kern w:val="2"/>
          <w:sz w:val="32"/>
          <w:szCs w:val="32"/>
        </w:rPr>
        <w:t>：</w:t>
      </w:r>
      <w:r>
        <w:rPr>
          <w:rFonts w:hint="eastAsia" w:eastAsia="仿宋_GB2312"/>
          <w:kern w:val="2"/>
          <w:sz w:val="32"/>
          <w:szCs w:val="32"/>
          <w:lang w:val="en-US" w:eastAsia="zh-CN"/>
        </w:rPr>
        <w:t>0000002100081872</w:t>
      </w:r>
      <w:r>
        <w:rPr>
          <w:rFonts w:hint="eastAsia" w:eastAsia="仿宋_GB2312"/>
          <w:kern w:val="2"/>
          <w:sz w:val="32"/>
          <w:szCs w:val="32"/>
        </w:rPr>
        <w:t>。</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rPr>
      </w:pPr>
      <w:r>
        <w:rPr>
          <w:rFonts w:hint="eastAsia" w:eastAsia="仿宋_GB2312"/>
          <w:kern w:val="2"/>
          <w:sz w:val="32"/>
          <w:szCs w:val="32"/>
          <w:lang w:eastAsia="zh-CN"/>
        </w:rPr>
        <w:t>当事人</w:t>
      </w:r>
      <w:r>
        <w:rPr>
          <w:rFonts w:hint="eastAsia" w:eastAsia="仿宋_GB2312"/>
          <w:kern w:val="2"/>
          <w:sz w:val="32"/>
          <w:szCs w:val="32"/>
        </w:rPr>
        <w:t xml:space="preserve">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napToGrid w:val="0"/>
        <w:spacing w:line="600" w:lineRule="exact"/>
        <w:ind w:firstLine="5433" w:firstLineChars="1730"/>
        <w:textAlignment w:val="auto"/>
        <w:rPr>
          <w:rFonts w:hint="eastAsia" w:eastAsia="仿宋_GB2312"/>
          <w:kern w:val="2"/>
          <w:sz w:val="32"/>
          <w:szCs w:val="32"/>
        </w:rPr>
      </w:pPr>
      <w:r>
        <w:rPr>
          <w:rFonts w:hint="eastAsia" w:eastAsia="仿宋_GB2312"/>
          <w:kern w:val="2"/>
          <w:sz w:val="32"/>
          <w:szCs w:val="32"/>
        </w:rPr>
        <w:t>市场监管总局</w:t>
      </w:r>
    </w:p>
    <w:p>
      <w:pPr>
        <w:keepNext w:val="0"/>
        <w:keepLines w:val="0"/>
        <w:pageBreakBefore w:val="0"/>
        <w:widowControl w:val="0"/>
        <w:kinsoku/>
        <w:wordWrap/>
        <w:topLinePunct w:val="0"/>
        <w:bidi w:val="0"/>
        <w:snapToGrid w:val="0"/>
        <w:spacing w:line="600" w:lineRule="exact"/>
        <w:ind w:firstLine="5225" w:firstLineChars="1664"/>
        <w:textAlignment w:val="auto"/>
        <w:rPr>
          <w:rFonts w:eastAsia="仿宋_GB2312"/>
          <w:kern w:val="2"/>
          <w:sz w:val="32"/>
          <w:szCs w:val="32"/>
        </w:rPr>
      </w:pPr>
      <w:r>
        <w:rPr>
          <w:rFonts w:hint="eastAsia" w:eastAsia="仿宋_GB2312"/>
          <w:kern w:val="2"/>
          <w:sz w:val="32"/>
          <w:szCs w:val="32"/>
        </w:rPr>
        <w:t>202</w:t>
      </w:r>
      <w:r>
        <w:rPr>
          <w:rFonts w:hint="eastAsia" w:eastAsia="仿宋_GB2312"/>
          <w:kern w:val="2"/>
          <w:sz w:val="32"/>
          <w:szCs w:val="32"/>
          <w:lang w:val="en-US" w:eastAsia="zh-CN"/>
        </w:rPr>
        <w:t>1</w:t>
      </w:r>
      <w:r>
        <w:rPr>
          <w:rFonts w:hint="eastAsia" w:eastAsia="仿宋_GB2312"/>
          <w:kern w:val="2"/>
          <w:sz w:val="32"/>
          <w:szCs w:val="32"/>
        </w:rPr>
        <w:t>年</w:t>
      </w:r>
      <w:r>
        <w:rPr>
          <w:rFonts w:hint="eastAsia" w:eastAsia="仿宋_GB2312"/>
          <w:kern w:val="2"/>
          <w:sz w:val="32"/>
          <w:szCs w:val="32"/>
          <w:lang w:val="en-US" w:eastAsia="zh-CN"/>
        </w:rPr>
        <w:t>4</w:t>
      </w:r>
      <w:r>
        <w:rPr>
          <w:rFonts w:hint="eastAsia" w:eastAsia="仿宋_GB2312"/>
          <w:kern w:val="2"/>
          <w:sz w:val="32"/>
          <w:szCs w:val="32"/>
        </w:rPr>
        <w:t>月</w:t>
      </w:r>
      <w:r>
        <w:rPr>
          <w:rFonts w:hint="eastAsia" w:eastAsia="仿宋_GB2312"/>
          <w:kern w:val="2"/>
          <w:sz w:val="32"/>
          <w:szCs w:val="32"/>
          <w:lang w:val="en-US" w:eastAsia="zh-CN"/>
        </w:rPr>
        <w:t>28</w:t>
      </w:r>
      <w:r>
        <w:rPr>
          <w:rFonts w:hint="eastAsia" w:eastAsia="仿宋_GB2312"/>
          <w:kern w:val="2"/>
          <w:sz w:val="32"/>
          <w:szCs w:val="32"/>
        </w:rPr>
        <w:t>日</w:t>
      </w:r>
    </w:p>
    <w:p>
      <w:pPr>
        <w:keepNext w:val="0"/>
        <w:keepLines w:val="0"/>
        <w:pageBreakBefore w:val="0"/>
        <w:widowControl w:val="0"/>
        <w:kinsoku/>
        <w:wordWrap/>
        <w:topLinePunct w:val="0"/>
        <w:bidi w:val="0"/>
        <w:spacing w:line="600" w:lineRule="exact"/>
        <w:ind w:firstLine="628" w:firstLineChars="200"/>
        <w:textAlignment w:val="auto"/>
        <w:rPr>
          <w:rFonts w:hint="eastAsia"/>
        </w:rPr>
      </w:pPr>
      <w:r>
        <w:rPr>
          <w:rFonts w:hint="eastAsia" w:eastAsia="仿宋_GB2312"/>
          <w:kern w:val="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ind w:left="315" w:leftChars="150" w:right="315" w:rightChars="150"/>
      <w:rPr>
        <w:rStyle w:val="7"/>
        <w:rFonts w:hint="eastAsia" w:ascii="宋体" w:hAnsi="宋体"/>
        <w:sz w:val="28"/>
        <w:szCs w:val="28"/>
      </w:rPr>
    </w:pPr>
    <w:r>
      <w:rPr>
        <w:rStyle w:val="7"/>
        <w:rFonts w:hint="eastAsia" w:ascii="宋体" w:hAnsi="宋体"/>
        <w:sz w:val="28"/>
        <w:szCs w:val="28"/>
      </w:rPr>
      <w:t xml:space="preserve">— </w:t>
    </w:r>
    <w:r>
      <w:rPr>
        <w:rStyle w:val="7"/>
        <w:rFonts w:ascii="宋体" w:hAnsi="宋体"/>
        <w:sz w:val="28"/>
        <w:szCs w:val="28"/>
      </w:rPr>
      <w:fldChar w:fldCharType="begin"/>
    </w:r>
    <w:r>
      <w:rPr>
        <w:rStyle w:val="7"/>
        <w:rFonts w:ascii="宋体" w:hAnsi="宋体"/>
        <w:sz w:val="28"/>
        <w:szCs w:val="28"/>
      </w:rPr>
      <w:instrText xml:space="preserve">PAGE  </w:instrText>
    </w:r>
    <w:r>
      <w:rPr>
        <w:rStyle w:val="7"/>
        <w:rFonts w:ascii="宋体" w:hAnsi="宋体"/>
        <w:sz w:val="28"/>
        <w:szCs w:val="28"/>
      </w:rPr>
      <w:fldChar w:fldCharType="separate"/>
    </w:r>
    <w:r>
      <w:rPr>
        <w:rStyle w:val="7"/>
        <w:rFonts w:ascii="宋体" w:hAnsi="宋体"/>
        <w:sz w:val="28"/>
        <w:szCs w:val="28"/>
      </w:rPr>
      <w:t>1</w:t>
    </w:r>
    <w:r>
      <w:rPr>
        <w:rStyle w:val="7"/>
        <w:rFonts w:ascii="宋体" w:hAnsi="宋体"/>
        <w:sz w:val="28"/>
        <w:szCs w:val="28"/>
      </w:rPr>
      <w:fldChar w:fldCharType="end"/>
    </w:r>
    <w:r>
      <w:rPr>
        <w:rStyle w:val="7"/>
        <w:rFonts w:hint="eastAsia" w:ascii="宋体" w:hAnsi="宋体"/>
        <w:sz w:val="28"/>
        <w:szCs w:val="28"/>
      </w:rPr>
      <w:t xml:space="preserve"> —</w:t>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7"/>
      </w:rPr>
    </w:pPr>
    <w:r>
      <w:rPr>
        <w:rStyle w:val="7"/>
      </w:rPr>
      <w:fldChar w:fldCharType="begin"/>
    </w:r>
    <w:r>
      <w:rPr>
        <w:rStyle w:val="7"/>
      </w:rPr>
      <w:instrText xml:space="preserve">PAGE  </w:instrText>
    </w:r>
    <w:r>
      <w:rPr>
        <w:rStyle w:val="7"/>
      </w:rP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20"/>
  <w:hyphenationZone w:val="360"/>
  <w:drawingGridHorizontalSpacing w:val="102"/>
  <w:drawingGridVerticalSpacing w:val="28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40581"/>
    <w:rsid w:val="000548A3"/>
    <w:rsid w:val="000827DF"/>
    <w:rsid w:val="00091794"/>
    <w:rsid w:val="00104DF8"/>
    <w:rsid w:val="0012430A"/>
    <w:rsid w:val="00133F5C"/>
    <w:rsid w:val="001377A0"/>
    <w:rsid w:val="00157F53"/>
    <w:rsid w:val="001659F5"/>
    <w:rsid w:val="001D38FA"/>
    <w:rsid w:val="001D41C2"/>
    <w:rsid w:val="00215C4B"/>
    <w:rsid w:val="002211B6"/>
    <w:rsid w:val="00224158"/>
    <w:rsid w:val="00234B72"/>
    <w:rsid w:val="00245423"/>
    <w:rsid w:val="00252E7C"/>
    <w:rsid w:val="00290548"/>
    <w:rsid w:val="00295562"/>
    <w:rsid w:val="002A1B6C"/>
    <w:rsid w:val="002A7578"/>
    <w:rsid w:val="002D4659"/>
    <w:rsid w:val="002D6CFB"/>
    <w:rsid w:val="002D7588"/>
    <w:rsid w:val="002F155E"/>
    <w:rsid w:val="0031556A"/>
    <w:rsid w:val="00373D66"/>
    <w:rsid w:val="003A1E45"/>
    <w:rsid w:val="003A4782"/>
    <w:rsid w:val="003D3BC1"/>
    <w:rsid w:val="003D6E20"/>
    <w:rsid w:val="003F7ACA"/>
    <w:rsid w:val="004715CB"/>
    <w:rsid w:val="004A3B22"/>
    <w:rsid w:val="004A6137"/>
    <w:rsid w:val="004B0121"/>
    <w:rsid w:val="004B1754"/>
    <w:rsid w:val="004B55D7"/>
    <w:rsid w:val="004B6FC4"/>
    <w:rsid w:val="004B7197"/>
    <w:rsid w:val="004C4C76"/>
    <w:rsid w:val="005036C6"/>
    <w:rsid w:val="00521A14"/>
    <w:rsid w:val="00550A0E"/>
    <w:rsid w:val="005701B7"/>
    <w:rsid w:val="0057731C"/>
    <w:rsid w:val="005834E9"/>
    <w:rsid w:val="00583867"/>
    <w:rsid w:val="00587D8A"/>
    <w:rsid w:val="005927DC"/>
    <w:rsid w:val="005B5018"/>
    <w:rsid w:val="005D07A8"/>
    <w:rsid w:val="005D48B1"/>
    <w:rsid w:val="00604C0E"/>
    <w:rsid w:val="00614049"/>
    <w:rsid w:val="00630C68"/>
    <w:rsid w:val="00655AF9"/>
    <w:rsid w:val="00656161"/>
    <w:rsid w:val="006578EE"/>
    <w:rsid w:val="00660A94"/>
    <w:rsid w:val="00661399"/>
    <w:rsid w:val="0066394B"/>
    <w:rsid w:val="006A3757"/>
    <w:rsid w:val="006A50C5"/>
    <w:rsid w:val="006A5BC7"/>
    <w:rsid w:val="006B5883"/>
    <w:rsid w:val="006C3A6D"/>
    <w:rsid w:val="006D4879"/>
    <w:rsid w:val="006E715E"/>
    <w:rsid w:val="00703F3B"/>
    <w:rsid w:val="00705AB4"/>
    <w:rsid w:val="00725EB8"/>
    <w:rsid w:val="0073264D"/>
    <w:rsid w:val="0076009F"/>
    <w:rsid w:val="007754D3"/>
    <w:rsid w:val="007B40DF"/>
    <w:rsid w:val="007C5FFE"/>
    <w:rsid w:val="007E404F"/>
    <w:rsid w:val="008039F4"/>
    <w:rsid w:val="008421E5"/>
    <w:rsid w:val="008546C0"/>
    <w:rsid w:val="0086703C"/>
    <w:rsid w:val="00880EEE"/>
    <w:rsid w:val="008A6262"/>
    <w:rsid w:val="008C4F45"/>
    <w:rsid w:val="008C74C9"/>
    <w:rsid w:val="008F7380"/>
    <w:rsid w:val="009054BC"/>
    <w:rsid w:val="00933B18"/>
    <w:rsid w:val="009766E6"/>
    <w:rsid w:val="009C1DFA"/>
    <w:rsid w:val="009C2E79"/>
    <w:rsid w:val="009C64B1"/>
    <w:rsid w:val="00A1167A"/>
    <w:rsid w:val="00A43255"/>
    <w:rsid w:val="00A43444"/>
    <w:rsid w:val="00A579FA"/>
    <w:rsid w:val="00A64434"/>
    <w:rsid w:val="00A863CB"/>
    <w:rsid w:val="00AA210A"/>
    <w:rsid w:val="00AF28DA"/>
    <w:rsid w:val="00AF75F0"/>
    <w:rsid w:val="00B219BA"/>
    <w:rsid w:val="00B26526"/>
    <w:rsid w:val="00B63EEB"/>
    <w:rsid w:val="00B73583"/>
    <w:rsid w:val="00B76FB1"/>
    <w:rsid w:val="00B94346"/>
    <w:rsid w:val="00B948A7"/>
    <w:rsid w:val="00B972B7"/>
    <w:rsid w:val="00BA16FE"/>
    <w:rsid w:val="00BD7CF0"/>
    <w:rsid w:val="00BE39C4"/>
    <w:rsid w:val="00BF319F"/>
    <w:rsid w:val="00C0343D"/>
    <w:rsid w:val="00C157EB"/>
    <w:rsid w:val="00C206BA"/>
    <w:rsid w:val="00C302A6"/>
    <w:rsid w:val="00C54183"/>
    <w:rsid w:val="00C77643"/>
    <w:rsid w:val="00C87B50"/>
    <w:rsid w:val="00CC3D1E"/>
    <w:rsid w:val="00D039F2"/>
    <w:rsid w:val="00D03E5A"/>
    <w:rsid w:val="00D10C55"/>
    <w:rsid w:val="00D12714"/>
    <w:rsid w:val="00D216FE"/>
    <w:rsid w:val="00D26834"/>
    <w:rsid w:val="00D30DD5"/>
    <w:rsid w:val="00D40512"/>
    <w:rsid w:val="00D43969"/>
    <w:rsid w:val="00D61F35"/>
    <w:rsid w:val="00D64391"/>
    <w:rsid w:val="00D71DFB"/>
    <w:rsid w:val="00D71ED4"/>
    <w:rsid w:val="00D746CB"/>
    <w:rsid w:val="00D85D06"/>
    <w:rsid w:val="00D873E3"/>
    <w:rsid w:val="00DB5CAF"/>
    <w:rsid w:val="00DD56EC"/>
    <w:rsid w:val="00DE3DCF"/>
    <w:rsid w:val="00E22F9F"/>
    <w:rsid w:val="00E4554C"/>
    <w:rsid w:val="00E508DB"/>
    <w:rsid w:val="00E541CD"/>
    <w:rsid w:val="00E557EF"/>
    <w:rsid w:val="00E55B87"/>
    <w:rsid w:val="00EA037C"/>
    <w:rsid w:val="00EC0E39"/>
    <w:rsid w:val="00EC70E9"/>
    <w:rsid w:val="00ED1821"/>
    <w:rsid w:val="00ED42C0"/>
    <w:rsid w:val="00F02F79"/>
    <w:rsid w:val="00F10C7C"/>
    <w:rsid w:val="00F20E60"/>
    <w:rsid w:val="00F72F95"/>
    <w:rsid w:val="00F90DCE"/>
    <w:rsid w:val="00FA4B88"/>
    <w:rsid w:val="00FC731D"/>
    <w:rsid w:val="00FD276D"/>
    <w:rsid w:val="00FE4FC2"/>
    <w:rsid w:val="00FE6553"/>
    <w:rsid w:val="01530E89"/>
    <w:rsid w:val="019452B7"/>
    <w:rsid w:val="03007EDE"/>
    <w:rsid w:val="03570C80"/>
    <w:rsid w:val="040D264D"/>
    <w:rsid w:val="044C2096"/>
    <w:rsid w:val="04E75D87"/>
    <w:rsid w:val="08277C4F"/>
    <w:rsid w:val="0B307E77"/>
    <w:rsid w:val="0D4D2427"/>
    <w:rsid w:val="0D8F1716"/>
    <w:rsid w:val="0EAA3ED1"/>
    <w:rsid w:val="104E0B39"/>
    <w:rsid w:val="116E7743"/>
    <w:rsid w:val="132500A4"/>
    <w:rsid w:val="13752A27"/>
    <w:rsid w:val="15F526A7"/>
    <w:rsid w:val="177C27C1"/>
    <w:rsid w:val="18956EF5"/>
    <w:rsid w:val="1AB85340"/>
    <w:rsid w:val="1B0D2F6A"/>
    <w:rsid w:val="1B28094D"/>
    <w:rsid w:val="1B6E0727"/>
    <w:rsid w:val="1BE7757A"/>
    <w:rsid w:val="1F5C4EEC"/>
    <w:rsid w:val="1FAB48BB"/>
    <w:rsid w:val="211B31BE"/>
    <w:rsid w:val="2DE60730"/>
    <w:rsid w:val="2E301C88"/>
    <w:rsid w:val="2E7343AE"/>
    <w:rsid w:val="301A4762"/>
    <w:rsid w:val="32DC238B"/>
    <w:rsid w:val="34524D2B"/>
    <w:rsid w:val="39902CBB"/>
    <w:rsid w:val="3A30675E"/>
    <w:rsid w:val="3ABD31FA"/>
    <w:rsid w:val="3D4B0CBB"/>
    <w:rsid w:val="3E974195"/>
    <w:rsid w:val="3EAD5FEC"/>
    <w:rsid w:val="3F267478"/>
    <w:rsid w:val="421D1137"/>
    <w:rsid w:val="451B0817"/>
    <w:rsid w:val="4AB65652"/>
    <w:rsid w:val="4D39790A"/>
    <w:rsid w:val="4E6A55DC"/>
    <w:rsid w:val="4FD318BE"/>
    <w:rsid w:val="52154BBE"/>
    <w:rsid w:val="542559AB"/>
    <w:rsid w:val="542A0388"/>
    <w:rsid w:val="5DEA10B2"/>
    <w:rsid w:val="5ED44529"/>
    <w:rsid w:val="5F3D449D"/>
    <w:rsid w:val="63464DED"/>
    <w:rsid w:val="64964C5C"/>
    <w:rsid w:val="653809D0"/>
    <w:rsid w:val="66034A8F"/>
    <w:rsid w:val="6B146BDD"/>
    <w:rsid w:val="6F984983"/>
    <w:rsid w:val="74D14500"/>
    <w:rsid w:val="75944317"/>
    <w:rsid w:val="77EC4CD4"/>
    <w:rsid w:val="7C291EFF"/>
    <w:rsid w:val="7EDB4C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Balloon Text"/>
    <w:basedOn w:val="1"/>
    <w:semiHidden/>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paragraph" w:customStyle="1" w:styleId="9">
    <w:name w:val="Default"/>
    <w:qFormat/>
    <w:uiPriority w:val="0"/>
    <w:pPr>
      <w:widowControl w:val="0"/>
      <w:autoSpaceDE w:val="0"/>
      <w:autoSpaceDN w:val="0"/>
      <w:adjustRightInd w:val="0"/>
    </w:pPr>
    <w:rPr>
      <w:rFonts w:ascii="楷体_GB2312" w:hAnsi="Calibri" w:eastAsia="楷体_GB2312" w:cs="楷体_GB2312"/>
      <w:color w:val="000000"/>
      <w:sz w:val="24"/>
      <w:szCs w:val="24"/>
      <w:lang w:val="en-US" w:eastAsia="zh-CN" w:bidi="ar-SA"/>
    </w:rPr>
  </w:style>
  <w:style w:type="paragraph" w:customStyle="1" w:styleId="10">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www.ftpdown.com</Company>
  <Pages>4</Pages>
  <Words>250</Words>
  <Characters>1427</Characters>
  <Lines>11</Lines>
  <Paragraphs>3</Paragraphs>
  <TotalTime>1</TotalTime>
  <ScaleCrop>false</ScaleCrop>
  <LinksUpToDate>false</LinksUpToDate>
  <CharactersWithSpaces>1674</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2020-04-01T01:55:00Z</dcterms:created>
  <dc:creator>FtpDown</dc:creator>
  <cp:lastModifiedBy>反垄断局监察处</cp:lastModifiedBy>
  <cp:lastPrinted>2021-03-10T01:03:00Z</cp:lastPrinted>
  <dcterms:modified xsi:type="dcterms:W3CDTF">2021-04-29T03:45:59Z</dcterms:modified>
  <dc:title>国有工商行政管理总局行政处罚公告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