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BC3CB">
      <w:pPr>
        <w:widowControl/>
        <w:spacing w:after="240"/>
        <w:jc w:val="center"/>
        <w:rPr>
          <w:rFonts w:hint="eastAsia" w:ascii="黑体" w:hAnsi="黑体" w:eastAsia="黑体" w:cs="黑体"/>
          <w:bCs/>
          <w:kern w:val="0"/>
          <w:sz w:val="44"/>
          <w:szCs w:val="44"/>
          <w:lang w:val="en-GB" w:bidi="ar-AE"/>
        </w:rPr>
      </w:pPr>
      <w:r>
        <w:rPr>
          <w:rFonts w:hint="eastAsia" w:ascii="黑体" w:hAnsi="黑体" w:eastAsia="黑体" w:cs="黑体"/>
          <w:bCs/>
          <w:kern w:val="0"/>
          <w:sz w:val="44"/>
          <w:szCs w:val="44"/>
          <w:lang w:val="en-GB" w:bidi="ar-AE"/>
        </w:rPr>
        <w:t>经营者集中简易案件公示表</w:t>
      </w:r>
    </w:p>
    <w:tbl>
      <w:tblPr>
        <w:tblStyle w:val="10"/>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57"/>
        <w:gridCol w:w="6243"/>
      </w:tblGrid>
      <w:tr w14:paraId="549D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438FBAE7">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0F126A9F">
            <w:pPr>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sz w:val="24"/>
              </w:rPr>
              <w:t>中国能源建设集团广东省电力设计研究院有限公司与广东粤数网络建设有限公司收购广东电力人工智能试验研究院有限公司股权案</w:t>
            </w:r>
          </w:p>
        </w:tc>
      </w:tr>
      <w:tr w14:paraId="4020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jc w:val="center"/>
        </w:trPr>
        <w:tc>
          <w:tcPr>
            <w:tcW w:w="1940" w:type="dxa"/>
            <w:shd w:val="clear" w:color="auto" w:fill="D9D9D9"/>
            <w:vAlign w:val="center"/>
          </w:tcPr>
          <w:p w14:paraId="271A186B">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7D9492EC">
            <w:pPr>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南方电网数字电网集团有限公司（“数字集团”）与中国能源建设集团广东省电力设计研究院有限公司（“能建广东院”）、广东粤数网络建设有限公司（“粤数网络”）等签署协议，增资广东电力人工智能试验研究院有限公司（“电力试验院”）。电力试验院主要从事电力行业人工智能系统测试业务。交易前，数字集团持有电力试验院100%的股份，单独控制电力试验院。交易后，数字集团、能建广东院、粤数网络将分别持有电力试验院31%、15%、10%的股份，依据协议共同控制电力试验院。</w:t>
            </w:r>
          </w:p>
        </w:tc>
      </w:tr>
      <w:tr w14:paraId="567E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14:paraId="2C9DB48B">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参与集中的经营者简介（每个限100字以内）</w:t>
            </w:r>
          </w:p>
        </w:tc>
        <w:tc>
          <w:tcPr>
            <w:tcW w:w="1457" w:type="dxa"/>
            <w:vAlign w:val="center"/>
          </w:tcPr>
          <w:p w14:paraId="5957E28F">
            <w:pPr>
              <w:pStyle w:val="5"/>
              <w:adjustRightInd w:val="0"/>
              <w:snapToGrid w:val="0"/>
              <w:spacing w:after="0" w:line="320" w:lineRule="exact"/>
              <w:rPr>
                <w:rFonts w:hint="eastAsia" w:ascii="Times New Roman" w:hAnsi="Times New Roman" w:eastAsia="宋体" w:cs="Times New Roman"/>
                <w:bCs/>
                <w:color w:val="000000"/>
                <w:sz w:val="24"/>
                <w:lang w:eastAsia="zh-CN"/>
              </w:rPr>
            </w:pPr>
            <w:r>
              <w:rPr>
                <w:rFonts w:hint="default" w:ascii="Times New Roman" w:hAnsi="Times New Roman" w:cs="Times New Roman"/>
                <w:bCs/>
                <w:color w:val="000000"/>
                <w:sz w:val="24"/>
              </w:rPr>
              <w:t>1.</w:t>
            </w:r>
            <w:r>
              <w:rPr>
                <w:rFonts w:hint="eastAsia" w:cs="Times New Roman"/>
                <w:bCs/>
                <w:color w:val="000000"/>
                <w:sz w:val="24"/>
                <w:lang w:eastAsia="zh-CN"/>
              </w:rPr>
              <w:t>数字集团</w:t>
            </w:r>
          </w:p>
        </w:tc>
        <w:tc>
          <w:tcPr>
            <w:tcW w:w="6243" w:type="dxa"/>
            <w:vAlign w:val="center"/>
          </w:tcPr>
          <w:p w14:paraId="6FFFF6A3">
            <w:pPr>
              <w:adjustRightInd w:val="0"/>
              <w:snapToGrid w:val="0"/>
              <w:spacing w:after="0" w:line="320" w:lineRule="exact"/>
              <w:ind w:firstLine="480" w:firstLineChars="200"/>
              <w:rPr>
                <w:rFonts w:hint="default" w:ascii="Times New Roman" w:hAnsi="Times New Roman" w:cs="Times New Roman"/>
                <w:bCs/>
                <w:color w:val="000000"/>
                <w:sz w:val="24"/>
              </w:rPr>
            </w:pPr>
            <w:r>
              <w:rPr>
                <w:rFonts w:hint="default" w:ascii="Times New Roman" w:hAnsi="Times New Roman" w:cs="Times New Roman"/>
                <w:bCs/>
                <w:color w:val="000000"/>
                <w:sz w:val="24"/>
              </w:rPr>
              <w:t>数字集团于2021年12月3日成立于广东省广州市，主要业务为软件开发与信息技术服务。</w:t>
            </w:r>
          </w:p>
          <w:p w14:paraId="4CD154BA">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bCs/>
                <w:color w:val="000000"/>
                <w:sz w:val="24"/>
              </w:rPr>
              <w:t>数字集团最终控制人为中国南方电网有限责任公司，主要从事广东、广西、云南、贵州、海南南方五省区电力供应、区域电网管理、电力交易与调度业务。</w:t>
            </w:r>
          </w:p>
        </w:tc>
      </w:tr>
      <w:tr w14:paraId="2B92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547C9495">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0E95D118">
            <w:pPr>
              <w:pStyle w:val="5"/>
              <w:adjustRightInd w:val="0"/>
              <w:snapToGrid w:val="0"/>
              <w:spacing w:after="0" w:line="320" w:lineRule="exact"/>
              <w:rPr>
                <w:rFonts w:hint="eastAsia" w:ascii="Times New Roman" w:hAnsi="Times New Roman" w:eastAsia="宋体" w:cs="Times New Roman"/>
                <w:bCs/>
                <w:color w:val="000000"/>
                <w:sz w:val="24"/>
                <w:lang w:eastAsia="zh-CN"/>
              </w:rPr>
            </w:pPr>
            <w:r>
              <w:rPr>
                <w:rFonts w:hint="default" w:ascii="Times New Roman" w:hAnsi="Times New Roman" w:cs="Times New Roman"/>
                <w:bCs/>
                <w:color w:val="000000"/>
                <w:sz w:val="24"/>
              </w:rPr>
              <w:t>2.</w:t>
            </w:r>
            <w:r>
              <w:rPr>
                <w:rFonts w:hint="eastAsia" w:cs="Times New Roman"/>
                <w:bCs/>
                <w:color w:val="000000"/>
                <w:sz w:val="24"/>
                <w:lang w:eastAsia="zh-CN"/>
              </w:rPr>
              <w:t>能建广东院</w:t>
            </w:r>
          </w:p>
        </w:tc>
        <w:tc>
          <w:tcPr>
            <w:tcW w:w="6243" w:type="dxa"/>
            <w:vAlign w:val="center"/>
          </w:tcPr>
          <w:p w14:paraId="39ECE0F1">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能建广东院于2001年11月8日成立于广东省广州市，主要为能源基础设施提供全产业链服务。</w:t>
            </w:r>
          </w:p>
          <w:p w14:paraId="622B286C">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能建广东院最终控制人为中国能源建设集团有限公司，主要为能源等基础设施行业提供咨询、勘察设计、工程建设、投资运营及装备制造等一体化服务。</w:t>
            </w:r>
          </w:p>
        </w:tc>
      </w:tr>
      <w:tr w14:paraId="5F65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5447C510">
            <w:pPr>
              <w:pStyle w:val="5"/>
              <w:adjustRightInd w:val="0"/>
              <w:snapToGrid w:val="0"/>
              <w:spacing w:after="0" w:line="320" w:lineRule="exact"/>
              <w:jc w:val="center"/>
              <w:rPr>
                <w:rFonts w:hint="default" w:ascii="Times New Roman" w:hAnsi="Times New Roman" w:cs="Times New Roman"/>
                <w:bCs/>
                <w:color w:val="000000"/>
                <w:sz w:val="24"/>
              </w:rPr>
            </w:pPr>
          </w:p>
        </w:tc>
        <w:tc>
          <w:tcPr>
            <w:tcW w:w="1457" w:type="dxa"/>
            <w:vAlign w:val="center"/>
          </w:tcPr>
          <w:p w14:paraId="794FA52F">
            <w:pPr>
              <w:pStyle w:val="5"/>
              <w:adjustRightInd w:val="0"/>
              <w:snapToGrid w:val="0"/>
              <w:spacing w:after="0" w:line="320" w:lineRule="exact"/>
              <w:rPr>
                <w:rFonts w:hint="default" w:ascii="Times New Roman" w:hAnsi="Times New Roman" w:cs="Times New Roman"/>
                <w:bCs/>
                <w:color w:val="000000"/>
                <w:sz w:val="24"/>
              </w:rPr>
            </w:pPr>
            <w:r>
              <w:rPr>
                <w:rFonts w:hint="eastAsia" w:cs="Times New Roman"/>
                <w:bCs/>
                <w:color w:val="000000"/>
                <w:sz w:val="24"/>
                <w:lang w:val="en-US" w:eastAsia="zh-CN"/>
              </w:rPr>
              <w:t>3.</w:t>
            </w:r>
            <w:r>
              <w:rPr>
                <w:rFonts w:hint="default" w:ascii="Times New Roman" w:hAnsi="Times New Roman" w:cs="Times New Roman"/>
                <w:bCs/>
                <w:color w:val="000000"/>
                <w:sz w:val="24"/>
              </w:rPr>
              <w:t>粤数网络</w:t>
            </w:r>
          </w:p>
        </w:tc>
        <w:tc>
          <w:tcPr>
            <w:tcW w:w="6243" w:type="dxa"/>
            <w:vAlign w:val="center"/>
          </w:tcPr>
          <w:p w14:paraId="6454140D">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粤数网络于2013年12月31日成立于广东省广州市，主要从事软件开发与信息技术服务。</w:t>
            </w:r>
          </w:p>
          <w:p w14:paraId="15321A2C">
            <w:pPr>
              <w:adjustRightInd w:val="0"/>
              <w:snapToGrid w:val="0"/>
              <w:spacing w:after="0" w:line="320" w:lineRule="exact"/>
              <w:ind w:firstLine="480" w:firstLineChars="200"/>
              <w:rPr>
                <w:rFonts w:hint="default" w:ascii="Times New Roman" w:hAnsi="Times New Roman" w:cs="Times New Roman"/>
                <w:sz w:val="24"/>
              </w:rPr>
            </w:pPr>
            <w:r>
              <w:rPr>
                <w:rFonts w:hint="default" w:ascii="Times New Roman" w:hAnsi="Times New Roman" w:cs="Times New Roman"/>
                <w:sz w:val="24"/>
              </w:rPr>
              <w:t>粤数网络最终控制人为广东省交易控股集团有限公司，主要从事产权交易、公共资源交易、金融资产交易、数据交易及商品交易等要素市场化配置与交易服务。</w:t>
            </w:r>
          </w:p>
        </w:tc>
      </w:tr>
      <w:tr w14:paraId="7AA1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940" w:type="dxa"/>
            <w:vMerge w:val="restart"/>
            <w:shd w:val="clear" w:color="auto" w:fill="D9D9D9"/>
            <w:vAlign w:val="center"/>
          </w:tcPr>
          <w:p w14:paraId="36FC5DC9">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24D29D92">
            <w:pPr>
              <w:pStyle w:val="5"/>
              <w:adjustRightInd w:val="0"/>
              <w:snapToGrid w:val="0"/>
              <w:spacing w:after="0" w:line="320" w:lineRule="exact"/>
              <w:rPr>
                <w:rFonts w:hint="default" w:ascii="Times New Roman" w:hAnsi="Times New Roman" w:cs="Times New Roman"/>
                <w:bCs/>
                <w:color w:val="000000"/>
                <w:sz w:val="24"/>
                <w:highlight w:val="cyan"/>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w:t>
            </w:r>
            <w:r>
              <w:rPr>
                <w:rFonts w:hint="default"/>
                <w:bCs/>
                <w:color w:val="000000"/>
                <w:sz w:val="24"/>
              </w:rPr>
              <w:t>在同一相关市场，参与集中的经营者所占市场份额之和小于15%</w:t>
            </w:r>
            <w:r>
              <w:rPr>
                <w:rFonts w:hint="default" w:ascii="Times New Roman" w:hAnsi="Times New Roman" w:cs="Times New Roman"/>
                <w:bCs/>
                <w:color w:val="000000"/>
                <w:sz w:val="24"/>
              </w:rPr>
              <w:t>。</w:t>
            </w:r>
          </w:p>
        </w:tc>
      </w:tr>
      <w:tr w14:paraId="7E0B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940" w:type="dxa"/>
            <w:vMerge w:val="continue"/>
            <w:shd w:val="clear" w:color="auto" w:fill="D9D9D9"/>
            <w:vAlign w:val="center"/>
          </w:tcPr>
          <w:p w14:paraId="544DE864">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7C3A6A02">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w:t>
            </w:r>
            <w:r>
              <w:rPr>
                <w:rFonts w:hint="default"/>
                <w:bCs/>
                <w:color w:val="000000"/>
                <w:sz w:val="24"/>
              </w:rPr>
              <w:t>在上下游市场，参与集中的经营者所占的市场份额均小于25%</w:t>
            </w:r>
            <w:r>
              <w:rPr>
                <w:rFonts w:hint="default" w:ascii="Times New Roman" w:hAnsi="Times New Roman" w:cs="Times New Roman"/>
                <w:bCs/>
                <w:color w:val="000000"/>
                <w:sz w:val="24"/>
              </w:rPr>
              <w:t>。</w:t>
            </w:r>
          </w:p>
        </w:tc>
      </w:tr>
      <w:tr w14:paraId="2DDD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3980D21D">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4C860691">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w:t>
            </w:r>
            <w:r>
              <w:rPr>
                <w:rFonts w:hint="default"/>
                <w:bCs/>
                <w:color w:val="000000"/>
                <w:sz w:val="24"/>
              </w:rPr>
              <w:t>不在同一相关市场也不存在上下游关系的参与集中的经营者，在与交易有关的每个市场所占的份额均小于25%</w:t>
            </w:r>
            <w:r>
              <w:rPr>
                <w:rFonts w:hint="default" w:ascii="Times New Roman" w:hAnsi="Times New Roman" w:cs="Times New Roman"/>
                <w:bCs/>
                <w:color w:val="000000"/>
                <w:sz w:val="24"/>
              </w:rPr>
              <w:t>。</w:t>
            </w:r>
          </w:p>
        </w:tc>
      </w:tr>
      <w:tr w14:paraId="44E2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591983BE">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1E4A6557">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34B2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6DBC65F0">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06E272D4">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44F9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940" w:type="dxa"/>
            <w:vMerge w:val="continue"/>
            <w:shd w:val="clear" w:color="auto" w:fill="D9D9D9"/>
            <w:vAlign w:val="center"/>
          </w:tcPr>
          <w:p w14:paraId="7C47AF93">
            <w:pPr>
              <w:pStyle w:val="5"/>
              <w:adjustRightInd w:val="0"/>
              <w:snapToGrid w:val="0"/>
              <w:spacing w:after="0" w:line="320" w:lineRule="exact"/>
              <w:jc w:val="center"/>
              <w:rPr>
                <w:rFonts w:hint="default" w:ascii="Times New Roman" w:hAnsi="Times New Roman" w:cs="Times New Roman"/>
                <w:bCs/>
                <w:color w:val="000000"/>
                <w:sz w:val="24"/>
              </w:rPr>
            </w:pPr>
          </w:p>
        </w:tc>
        <w:tc>
          <w:tcPr>
            <w:tcW w:w="7700" w:type="dxa"/>
            <w:gridSpan w:val="2"/>
            <w:vAlign w:val="center"/>
          </w:tcPr>
          <w:p w14:paraId="16A84D78">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68D6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14:paraId="1254D2D5">
            <w:pPr>
              <w:pStyle w:val="5"/>
              <w:adjustRightInd w:val="0"/>
              <w:snapToGrid w:val="0"/>
              <w:spacing w:after="0" w:line="320" w:lineRule="exact"/>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00F5C48A">
            <w:pPr>
              <w:pStyle w:val="5"/>
              <w:adjustRightInd w:val="0"/>
              <w:snapToGrid w:val="0"/>
              <w:spacing w:after="0" w:line="320" w:lineRule="exact"/>
              <w:rPr>
                <w:rFonts w:hint="default" w:ascii="Times New Roman" w:hAnsi="Times New Roman" w:cs="Times New Roman"/>
                <w:b/>
                <w:color w:val="000000"/>
                <w:sz w:val="24"/>
              </w:rPr>
            </w:pPr>
            <w:r>
              <w:rPr>
                <w:rFonts w:hint="eastAsia" w:cs="Times New Roman"/>
                <w:b/>
                <w:color w:val="000000"/>
                <w:sz w:val="24"/>
                <w:lang w:eastAsia="zh-CN"/>
              </w:rPr>
              <w:t>混合集中</w:t>
            </w:r>
            <w:r>
              <w:rPr>
                <w:rFonts w:hint="default" w:ascii="Times New Roman" w:hAnsi="Times New Roman" w:cs="Times New Roman"/>
                <w:b/>
                <w:color w:val="000000"/>
                <w:sz w:val="24"/>
              </w:rPr>
              <w:t>：</w:t>
            </w:r>
          </w:p>
          <w:p w14:paraId="450C94F1">
            <w:pPr>
              <w:pStyle w:val="5"/>
              <w:adjustRightInd w:val="0"/>
              <w:snapToGrid w:val="0"/>
              <w:spacing w:after="0" w:line="320" w:lineRule="exact"/>
              <w:rPr>
                <w:rFonts w:hint="default" w:ascii="Times New Roman" w:hAnsi="Times New Roman" w:cs="Times New Roman"/>
                <w:b w:val="0"/>
                <w:bCs/>
                <w:color w:val="000000"/>
                <w:sz w:val="24"/>
              </w:rPr>
            </w:pPr>
            <w:r>
              <w:rPr>
                <w:rFonts w:hint="default" w:ascii="Times New Roman" w:hAnsi="Times New Roman" w:cs="Times New Roman"/>
                <w:b w:val="0"/>
                <w:bCs/>
                <w:color w:val="000000"/>
                <w:sz w:val="24"/>
              </w:rPr>
              <w:t>2025年中国境内电力行业人工智能系统测试市场</w:t>
            </w:r>
          </w:p>
          <w:p w14:paraId="40B3DF64">
            <w:pPr>
              <w:pStyle w:val="5"/>
              <w:adjustRightInd w:val="0"/>
              <w:snapToGrid w:val="0"/>
              <w:spacing w:after="0" w:line="320" w:lineRule="exact"/>
              <w:rPr>
                <w:rFonts w:hint="default" w:ascii="Times New Roman" w:hAnsi="Times New Roman" w:cs="Times New Roman"/>
                <w:bCs/>
                <w:color w:val="000000"/>
                <w:sz w:val="24"/>
              </w:rPr>
            </w:pPr>
            <w:r>
              <w:rPr>
                <w:rFonts w:hint="default" w:ascii="Times New Roman" w:hAnsi="Times New Roman" w:cs="Times New Roman"/>
                <w:b w:val="0"/>
                <w:bCs/>
                <w:color w:val="000000"/>
                <w:sz w:val="24"/>
              </w:rPr>
              <w:t>数字集团：0-5%</w:t>
            </w:r>
          </w:p>
        </w:tc>
      </w:tr>
    </w:tbl>
    <w:p w14:paraId="40DCA861">
      <w:pPr>
        <w:rPr>
          <w:rFonts w:eastAsiaTheme="minor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mMTI0ODhhNzFmMGU3MTZhMTA0ODYxYzI1N2YwYjIifQ=="/>
  </w:docVars>
  <w:rsids>
    <w:rsidRoot w:val="511505E7"/>
    <w:rsid w:val="00023CD5"/>
    <w:rsid w:val="00042BDD"/>
    <w:rsid w:val="00062A85"/>
    <w:rsid w:val="000732B9"/>
    <w:rsid w:val="0007692D"/>
    <w:rsid w:val="00087338"/>
    <w:rsid w:val="0009732A"/>
    <w:rsid w:val="000B129C"/>
    <w:rsid w:val="000C7C99"/>
    <w:rsid w:val="00114814"/>
    <w:rsid w:val="0015468B"/>
    <w:rsid w:val="00162A11"/>
    <w:rsid w:val="001A3122"/>
    <w:rsid w:val="001B50F2"/>
    <w:rsid w:val="001C6148"/>
    <w:rsid w:val="001F1C3C"/>
    <w:rsid w:val="00220B05"/>
    <w:rsid w:val="0022179C"/>
    <w:rsid w:val="00221FCA"/>
    <w:rsid w:val="00244DF9"/>
    <w:rsid w:val="00284710"/>
    <w:rsid w:val="002F18E2"/>
    <w:rsid w:val="00332EAC"/>
    <w:rsid w:val="0034463A"/>
    <w:rsid w:val="00346B84"/>
    <w:rsid w:val="00351103"/>
    <w:rsid w:val="003579CC"/>
    <w:rsid w:val="00367A54"/>
    <w:rsid w:val="003835F2"/>
    <w:rsid w:val="004133F3"/>
    <w:rsid w:val="004948F0"/>
    <w:rsid w:val="004C4C54"/>
    <w:rsid w:val="00500F51"/>
    <w:rsid w:val="00504BEC"/>
    <w:rsid w:val="0050617E"/>
    <w:rsid w:val="00507863"/>
    <w:rsid w:val="00551ECB"/>
    <w:rsid w:val="005C4EFC"/>
    <w:rsid w:val="005F5560"/>
    <w:rsid w:val="00606430"/>
    <w:rsid w:val="0062408E"/>
    <w:rsid w:val="00627CE6"/>
    <w:rsid w:val="00646E32"/>
    <w:rsid w:val="00656CD1"/>
    <w:rsid w:val="00692AFF"/>
    <w:rsid w:val="006A20C6"/>
    <w:rsid w:val="006A4389"/>
    <w:rsid w:val="006C3B44"/>
    <w:rsid w:val="00707821"/>
    <w:rsid w:val="0072474D"/>
    <w:rsid w:val="00734F51"/>
    <w:rsid w:val="00774B3B"/>
    <w:rsid w:val="007D63FA"/>
    <w:rsid w:val="007E06DE"/>
    <w:rsid w:val="007F706B"/>
    <w:rsid w:val="00816711"/>
    <w:rsid w:val="00826195"/>
    <w:rsid w:val="008446C5"/>
    <w:rsid w:val="008472A3"/>
    <w:rsid w:val="00876497"/>
    <w:rsid w:val="00891987"/>
    <w:rsid w:val="008B6BA9"/>
    <w:rsid w:val="008D1D1C"/>
    <w:rsid w:val="008F7E6A"/>
    <w:rsid w:val="009040AD"/>
    <w:rsid w:val="00914FE9"/>
    <w:rsid w:val="00934D60"/>
    <w:rsid w:val="00996257"/>
    <w:rsid w:val="009A7A68"/>
    <w:rsid w:val="00A25063"/>
    <w:rsid w:val="00A67BEB"/>
    <w:rsid w:val="00A73286"/>
    <w:rsid w:val="00AB10BA"/>
    <w:rsid w:val="00AB5F57"/>
    <w:rsid w:val="00AF2A61"/>
    <w:rsid w:val="00B25C95"/>
    <w:rsid w:val="00B45330"/>
    <w:rsid w:val="00B456E2"/>
    <w:rsid w:val="00B93533"/>
    <w:rsid w:val="00BB4E16"/>
    <w:rsid w:val="00BC4863"/>
    <w:rsid w:val="00BD3FB4"/>
    <w:rsid w:val="00BE051D"/>
    <w:rsid w:val="00C046B3"/>
    <w:rsid w:val="00C659BA"/>
    <w:rsid w:val="00C72941"/>
    <w:rsid w:val="00C91BD4"/>
    <w:rsid w:val="00CC6E5E"/>
    <w:rsid w:val="00CF553B"/>
    <w:rsid w:val="00D11F6E"/>
    <w:rsid w:val="00D14CED"/>
    <w:rsid w:val="00D62B13"/>
    <w:rsid w:val="00E02F08"/>
    <w:rsid w:val="00E40607"/>
    <w:rsid w:val="00E4263C"/>
    <w:rsid w:val="00E466FD"/>
    <w:rsid w:val="00E643EB"/>
    <w:rsid w:val="00EE2FA7"/>
    <w:rsid w:val="00EF4E4A"/>
    <w:rsid w:val="00EF62E6"/>
    <w:rsid w:val="00F529A9"/>
    <w:rsid w:val="00F63099"/>
    <w:rsid w:val="00F7053E"/>
    <w:rsid w:val="00F90810"/>
    <w:rsid w:val="00FD5EA5"/>
    <w:rsid w:val="00FF42DD"/>
    <w:rsid w:val="011DF4EB"/>
    <w:rsid w:val="01B165CE"/>
    <w:rsid w:val="0217304F"/>
    <w:rsid w:val="02515359"/>
    <w:rsid w:val="02BE1282"/>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7D1FFD"/>
    <w:rsid w:val="0BD91CE7"/>
    <w:rsid w:val="0C6B60D7"/>
    <w:rsid w:val="0CC96F4F"/>
    <w:rsid w:val="0DE526A7"/>
    <w:rsid w:val="0E5C7E9D"/>
    <w:rsid w:val="0EEC791B"/>
    <w:rsid w:val="0F272A69"/>
    <w:rsid w:val="0FA436B7"/>
    <w:rsid w:val="0FBBC6D8"/>
    <w:rsid w:val="10C02711"/>
    <w:rsid w:val="12ED74AA"/>
    <w:rsid w:val="130B6D76"/>
    <w:rsid w:val="13236AF1"/>
    <w:rsid w:val="13D6674E"/>
    <w:rsid w:val="150C1E94"/>
    <w:rsid w:val="156644E7"/>
    <w:rsid w:val="15D94F21"/>
    <w:rsid w:val="15E47716"/>
    <w:rsid w:val="1680064E"/>
    <w:rsid w:val="17436509"/>
    <w:rsid w:val="181A7DD3"/>
    <w:rsid w:val="194523AC"/>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64A41"/>
    <w:rsid w:val="289A6D28"/>
    <w:rsid w:val="2AD92954"/>
    <w:rsid w:val="2B795B9C"/>
    <w:rsid w:val="2C0C7CCC"/>
    <w:rsid w:val="2CAC25FF"/>
    <w:rsid w:val="2DFF8C0F"/>
    <w:rsid w:val="2ECF569F"/>
    <w:rsid w:val="2F0902B7"/>
    <w:rsid w:val="3025112D"/>
    <w:rsid w:val="319E78FD"/>
    <w:rsid w:val="339B1A7D"/>
    <w:rsid w:val="34527864"/>
    <w:rsid w:val="356065C1"/>
    <w:rsid w:val="35741F7B"/>
    <w:rsid w:val="35927D49"/>
    <w:rsid w:val="36647739"/>
    <w:rsid w:val="36722108"/>
    <w:rsid w:val="376D2546"/>
    <w:rsid w:val="37736187"/>
    <w:rsid w:val="37EC4B4C"/>
    <w:rsid w:val="3A7D25F4"/>
    <w:rsid w:val="3B6C128B"/>
    <w:rsid w:val="3BF42FA2"/>
    <w:rsid w:val="3C1B3849"/>
    <w:rsid w:val="3CF65106"/>
    <w:rsid w:val="3DBE0E38"/>
    <w:rsid w:val="3DCF2C73"/>
    <w:rsid w:val="3E3B322A"/>
    <w:rsid w:val="3EB7365E"/>
    <w:rsid w:val="3EBE2D3F"/>
    <w:rsid w:val="3ED7D01C"/>
    <w:rsid w:val="3EE73D98"/>
    <w:rsid w:val="3FFFF7A9"/>
    <w:rsid w:val="40161AFD"/>
    <w:rsid w:val="40D7777E"/>
    <w:rsid w:val="41CC7DDB"/>
    <w:rsid w:val="41D779C0"/>
    <w:rsid w:val="436E421B"/>
    <w:rsid w:val="43E353FE"/>
    <w:rsid w:val="45E92E66"/>
    <w:rsid w:val="46845245"/>
    <w:rsid w:val="46F216C3"/>
    <w:rsid w:val="48567BBA"/>
    <w:rsid w:val="48604985"/>
    <w:rsid w:val="48C332AF"/>
    <w:rsid w:val="48DAD897"/>
    <w:rsid w:val="49857111"/>
    <w:rsid w:val="498A72A0"/>
    <w:rsid w:val="4A1B48DF"/>
    <w:rsid w:val="4A666A5B"/>
    <w:rsid w:val="4C824703"/>
    <w:rsid w:val="4CC01CF8"/>
    <w:rsid w:val="4CFD75DE"/>
    <w:rsid w:val="4D533669"/>
    <w:rsid w:val="4D611881"/>
    <w:rsid w:val="4DB67BAD"/>
    <w:rsid w:val="4DBF710D"/>
    <w:rsid w:val="4E585190"/>
    <w:rsid w:val="4E626EA5"/>
    <w:rsid w:val="4F7D0643"/>
    <w:rsid w:val="50CB3BDA"/>
    <w:rsid w:val="511505E7"/>
    <w:rsid w:val="52691F60"/>
    <w:rsid w:val="5275657D"/>
    <w:rsid w:val="53701092"/>
    <w:rsid w:val="53DE53F7"/>
    <w:rsid w:val="549363D0"/>
    <w:rsid w:val="54D26C3D"/>
    <w:rsid w:val="54DD7AC9"/>
    <w:rsid w:val="55413F6A"/>
    <w:rsid w:val="558A3AEC"/>
    <w:rsid w:val="55FF4F39"/>
    <w:rsid w:val="563C0C84"/>
    <w:rsid w:val="567C47AD"/>
    <w:rsid w:val="568C7EFA"/>
    <w:rsid w:val="5721053D"/>
    <w:rsid w:val="59246BE1"/>
    <w:rsid w:val="5A320350"/>
    <w:rsid w:val="5A4E1134"/>
    <w:rsid w:val="5A8F5421"/>
    <w:rsid w:val="5AB377AC"/>
    <w:rsid w:val="5ADB7A9F"/>
    <w:rsid w:val="5B37709F"/>
    <w:rsid w:val="5BDF7AA8"/>
    <w:rsid w:val="5CC770F3"/>
    <w:rsid w:val="5D2A1DB6"/>
    <w:rsid w:val="5DFF5221"/>
    <w:rsid w:val="5E527642"/>
    <w:rsid w:val="5E606197"/>
    <w:rsid w:val="5E758AD3"/>
    <w:rsid w:val="5EF3B3BD"/>
    <w:rsid w:val="5EFFEB53"/>
    <w:rsid w:val="5F56F5B6"/>
    <w:rsid w:val="5F5B3889"/>
    <w:rsid w:val="5F7404E1"/>
    <w:rsid w:val="60B85CFA"/>
    <w:rsid w:val="61AC7C2D"/>
    <w:rsid w:val="61F32521"/>
    <w:rsid w:val="63F6661D"/>
    <w:rsid w:val="64F94FB6"/>
    <w:rsid w:val="64FF0119"/>
    <w:rsid w:val="650C61D5"/>
    <w:rsid w:val="65183212"/>
    <w:rsid w:val="65455CC0"/>
    <w:rsid w:val="65AC0421"/>
    <w:rsid w:val="67090219"/>
    <w:rsid w:val="6754015D"/>
    <w:rsid w:val="67885F66"/>
    <w:rsid w:val="67D469E8"/>
    <w:rsid w:val="67F73778"/>
    <w:rsid w:val="685D233B"/>
    <w:rsid w:val="68865FA7"/>
    <w:rsid w:val="69C0748D"/>
    <w:rsid w:val="6A7D30C3"/>
    <w:rsid w:val="6AB73D5A"/>
    <w:rsid w:val="6B0D1787"/>
    <w:rsid w:val="6B9261CD"/>
    <w:rsid w:val="6B9A71CB"/>
    <w:rsid w:val="6BCB1BF4"/>
    <w:rsid w:val="6BCC0CB3"/>
    <w:rsid w:val="6C2B2308"/>
    <w:rsid w:val="6C45316D"/>
    <w:rsid w:val="6CBF87B4"/>
    <w:rsid w:val="6DEFBAE0"/>
    <w:rsid w:val="6E372E5F"/>
    <w:rsid w:val="6E3FE820"/>
    <w:rsid w:val="6E786ABC"/>
    <w:rsid w:val="6F538C10"/>
    <w:rsid w:val="6F7F9D42"/>
    <w:rsid w:val="6FDF5799"/>
    <w:rsid w:val="6FEF082D"/>
    <w:rsid w:val="710A7485"/>
    <w:rsid w:val="71394751"/>
    <w:rsid w:val="72131803"/>
    <w:rsid w:val="723024E6"/>
    <w:rsid w:val="73026B48"/>
    <w:rsid w:val="73DF5395"/>
    <w:rsid w:val="74566BED"/>
    <w:rsid w:val="74CE550B"/>
    <w:rsid w:val="75933226"/>
    <w:rsid w:val="767FE0B3"/>
    <w:rsid w:val="76AFBFF1"/>
    <w:rsid w:val="76CA40F3"/>
    <w:rsid w:val="77527FDF"/>
    <w:rsid w:val="77AFF4F6"/>
    <w:rsid w:val="77FFCFC3"/>
    <w:rsid w:val="781DC11E"/>
    <w:rsid w:val="78410251"/>
    <w:rsid w:val="793FB7A1"/>
    <w:rsid w:val="7A66B182"/>
    <w:rsid w:val="7A9C06E1"/>
    <w:rsid w:val="7AB91678"/>
    <w:rsid w:val="7B8F578C"/>
    <w:rsid w:val="7B9A66EF"/>
    <w:rsid w:val="7BE411F0"/>
    <w:rsid w:val="7BF5EC97"/>
    <w:rsid w:val="7BFD20A7"/>
    <w:rsid w:val="7BFFD823"/>
    <w:rsid w:val="7C7918BC"/>
    <w:rsid w:val="7C893E5D"/>
    <w:rsid w:val="7E7FD586"/>
    <w:rsid w:val="7EE72273"/>
    <w:rsid w:val="7EF7CDD2"/>
    <w:rsid w:val="7F7BEB9D"/>
    <w:rsid w:val="7F8206A0"/>
    <w:rsid w:val="7FBF2495"/>
    <w:rsid w:val="7FDCAB43"/>
    <w:rsid w:val="7FDDE354"/>
    <w:rsid w:val="7FE91E78"/>
    <w:rsid w:val="7FFDE69B"/>
    <w:rsid w:val="7FFF7DA9"/>
    <w:rsid w:val="9CBD0B1A"/>
    <w:rsid w:val="9FEF137C"/>
    <w:rsid w:val="A7F9C1DE"/>
    <w:rsid w:val="ADFAC79E"/>
    <w:rsid w:val="B3BF1605"/>
    <w:rsid w:val="B593FB7D"/>
    <w:rsid w:val="B9B92832"/>
    <w:rsid w:val="BCB7048F"/>
    <w:rsid w:val="BEAF73DD"/>
    <w:rsid w:val="BF8E36EE"/>
    <w:rsid w:val="BFDFB85E"/>
    <w:rsid w:val="BFF739EC"/>
    <w:rsid w:val="BFFF90E1"/>
    <w:rsid w:val="C3F5BA26"/>
    <w:rsid w:val="D5DB8D8A"/>
    <w:rsid w:val="DDEFBA43"/>
    <w:rsid w:val="DEAFB90F"/>
    <w:rsid w:val="DF21B821"/>
    <w:rsid w:val="DFD76A11"/>
    <w:rsid w:val="E55B2832"/>
    <w:rsid w:val="E9CF0B83"/>
    <w:rsid w:val="E9F71F09"/>
    <w:rsid w:val="EAFD8D58"/>
    <w:rsid w:val="EB6C770B"/>
    <w:rsid w:val="EBCD181E"/>
    <w:rsid w:val="EFFFDD70"/>
    <w:rsid w:val="F1B778F1"/>
    <w:rsid w:val="F2345BAD"/>
    <w:rsid w:val="F3FF743F"/>
    <w:rsid w:val="F4FF55F7"/>
    <w:rsid w:val="F4FFB88F"/>
    <w:rsid w:val="F7FD911C"/>
    <w:rsid w:val="F9DF2CA6"/>
    <w:rsid w:val="F9F546DF"/>
    <w:rsid w:val="FADD6E63"/>
    <w:rsid w:val="FB3326CC"/>
    <w:rsid w:val="FBCE4D19"/>
    <w:rsid w:val="FC435E84"/>
    <w:rsid w:val="FDBF10AA"/>
    <w:rsid w:val="FDC26672"/>
    <w:rsid w:val="FEDF345D"/>
    <w:rsid w:val="FEFF44F1"/>
    <w:rsid w:val="FF3A806D"/>
    <w:rsid w:val="FFBC3961"/>
    <w:rsid w:val="FFCFC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8"/>
    <w:unhideWhenUsed/>
    <w:qFormat/>
    <w:uiPriority w:val="0"/>
    <w:pPr>
      <w:spacing w:after="120"/>
    </w:p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sz w:val="30"/>
    </w:rPr>
  </w:style>
  <w:style w:type="paragraph" w:styleId="9">
    <w:name w:val="Body Text First Indent"/>
    <w:basedOn w:val="5"/>
    <w:qFormat/>
    <w:uiPriority w:val="0"/>
    <w:pPr>
      <w:ind w:firstLine="420" w:firstLineChars="100"/>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7"/>
    <w:qFormat/>
    <w:uiPriority w:val="0"/>
    <w:rPr>
      <w:rFonts w:ascii="Times New Roman" w:hAnsi="Times New Roman" w:eastAsia="宋体" w:cs="Times New Roman"/>
      <w:kern w:val="2"/>
      <w:sz w:val="18"/>
      <w:szCs w:val="18"/>
    </w:rPr>
  </w:style>
  <w:style w:type="character" w:customStyle="1" w:styleId="17">
    <w:name w:val="页脚 字符"/>
    <w:basedOn w:val="12"/>
    <w:link w:val="6"/>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0"/>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6"/>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2">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3">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2052</Words>
  <Characters>2172</Characters>
  <Lines>42</Lines>
  <Paragraphs>117</Paragraphs>
  <TotalTime>80</TotalTime>
  <ScaleCrop>false</ScaleCrop>
  <LinksUpToDate>false</LinksUpToDate>
  <CharactersWithSpaces>2294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2024-12-31T19:16:00Z</dcterms:created>
  <dc:creator>张斌（反垄断处）</dc:creator>
  <cp:lastModifiedBy>郑玉丽</cp:lastModifiedBy>
  <cp:lastPrinted>2026-06-20T22:33:00Z</cp:lastPrinted>
  <dcterms:modified xsi:type="dcterms:W3CDTF">2026-07-06T02:43:44Z</dcterms:modified>
  <dc:title>关于经营者集中反垄断审查案件</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73439B40580270EA11B00E6AC05624BE</vt:lpwstr>
  </property>
  <property fmtid="{D5CDD505-2E9C-101B-9397-08002B2CF9AE}" pid="4" name="GrammarlyDocumentId">
    <vt:lpwstr>415c04c2ea5c76eeb4abe029fcd35cefb8eb7f284a36f64b516eda6a0aa520b6</vt:lpwstr>
  </property>
  <property fmtid="{D5CDD505-2E9C-101B-9397-08002B2CF9AE}" pid="5" name="KSOTemplateDocerSaveRecord">
    <vt:lpwstr>eyJoZGlkIjoiODNjM2VkZWUwYjdkZDYzZGY2NmZiZGNiZGIyMjFjYWIiLCJ1c2VySWQiOiIxMjE0ODEzMDc5In0=</vt:lpwstr>
  </property>
</Properties>
</file>