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3F9F71">
      <w:pPr>
        <w:widowControl/>
        <w:spacing w:after="240"/>
        <w:jc w:val="center"/>
        <w:rPr>
          <w:rFonts w:hint="default" w:ascii="Times New Roman" w:hAnsi="Times New Roman" w:eastAsia="方正小标宋简体" w:cs="Times New Roman"/>
          <w:bCs/>
          <w:kern w:val="0"/>
          <w:sz w:val="44"/>
          <w:szCs w:val="44"/>
          <w:lang w:val="en-GB" w:bidi="ar-AE"/>
        </w:rPr>
      </w:pPr>
      <w:bookmarkStart w:id="0" w:name="_GoBack"/>
      <w:bookmarkEnd w:id="0"/>
      <w:r>
        <w:rPr>
          <w:rFonts w:hint="default" w:ascii="Times New Roman" w:hAnsi="Times New Roman" w:eastAsia="方正小标宋简体" w:cs="Times New Roman"/>
          <w:bCs/>
          <w:kern w:val="0"/>
          <w:sz w:val="44"/>
          <w:szCs w:val="44"/>
          <w:lang w:val="en-GB" w:bidi="ar-AE"/>
        </w:rPr>
        <w:t>经营者集中简易案件公示表</w:t>
      </w:r>
    </w:p>
    <w:tbl>
      <w:tblPr>
        <w:tblStyle w:val="11"/>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93"/>
      </w:tblGrid>
      <w:tr w14:paraId="27B54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940" w:type="dxa"/>
            <w:shd w:val="clear" w:color="auto" w:fill="D9D9D9"/>
            <w:vAlign w:val="center"/>
          </w:tcPr>
          <w:p w14:paraId="0CE63842">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r>
              <w:rPr>
                <w:rFonts w:hint="eastAsia" w:cs="宋体"/>
                <w:bCs/>
                <w:color w:val="000000"/>
                <w:sz w:val="24"/>
                <w:szCs w:val="24"/>
              </w:rPr>
              <w:t>案件名称</w:t>
            </w:r>
          </w:p>
        </w:tc>
        <w:tc>
          <w:tcPr>
            <w:tcW w:w="7700" w:type="dxa"/>
            <w:gridSpan w:val="2"/>
            <w:vAlign w:val="center"/>
          </w:tcPr>
          <w:p w14:paraId="4EB0511A">
            <w:pPr>
              <w:keepNext w:val="0"/>
              <w:keepLines w:val="0"/>
              <w:suppressLineNumbers w:val="0"/>
              <w:adjustRightInd w:val="0"/>
              <w:snapToGrid w:val="0"/>
              <w:spacing w:before="0" w:beforeAutospacing="0" w:after="0" w:afterAutospacing="0"/>
              <w:ind w:left="0" w:right="0"/>
              <w:rPr>
                <w:rFonts w:hint="default"/>
              </w:rPr>
            </w:pPr>
            <w:r>
              <w:rPr>
                <w:rFonts w:hint="default"/>
                <w:sz w:val="24"/>
                <w:lang w:bidi="ar"/>
              </w:rPr>
              <w:t>立讯精密工业股份有限公司收购张家口京西智行科技集团有限公司股权案</w:t>
            </w:r>
          </w:p>
        </w:tc>
      </w:tr>
      <w:tr w14:paraId="4C629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1" w:hRule="atLeast"/>
        </w:trPr>
        <w:tc>
          <w:tcPr>
            <w:tcW w:w="1940" w:type="dxa"/>
            <w:shd w:val="clear" w:color="auto" w:fill="D9D9D9"/>
            <w:vAlign w:val="center"/>
          </w:tcPr>
          <w:p w14:paraId="2DF609EF">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r>
              <w:rPr>
                <w:rFonts w:hint="eastAsia" w:cs="宋体"/>
                <w:bCs/>
                <w:color w:val="000000"/>
                <w:sz w:val="24"/>
                <w:szCs w:val="24"/>
              </w:rPr>
              <w:t>交易概况（限200字内）</w:t>
            </w:r>
          </w:p>
        </w:tc>
        <w:tc>
          <w:tcPr>
            <w:tcW w:w="7700" w:type="dxa"/>
            <w:gridSpan w:val="2"/>
            <w:vAlign w:val="center"/>
          </w:tcPr>
          <w:p w14:paraId="25D29D83">
            <w:pPr>
              <w:pStyle w:val="3"/>
              <w:keepNext w:val="0"/>
              <w:keepLines w:val="0"/>
              <w:suppressLineNumbers w:val="0"/>
              <w:spacing w:before="0" w:beforeAutospacing="0" w:after="0" w:afterAutospacing="0" w:line="360" w:lineRule="exact"/>
              <w:ind w:left="0" w:right="0"/>
              <w:rPr>
                <w:rFonts w:hint="default"/>
              </w:rPr>
            </w:pPr>
            <w:r>
              <w:rPr>
                <w:rFonts w:hint="default"/>
                <w:kern w:val="0"/>
                <w:sz w:val="24"/>
                <w:lang w:val="en-GB" w:bidi="ar-AE"/>
              </w:rPr>
              <w:t>张家口产业投资控股集团有限公司（“张家口产投集团”）与立讯精密工业股份有限公司（“立讯精密”）、张家口京西智行科技集团有限公司（ “目标公司”）等签署协议，立讯精密收购目标公司共计100%的股份。目标公司主要从事汽车悬架及制动产品研发、生产及销售业务。交易前，张家口产投集团持有目标公司100%的股份，单独控制目标公司。交易后，立讯精密将持有目标公司100%的股份，单独控制目标公司。</w:t>
            </w:r>
          </w:p>
        </w:tc>
      </w:tr>
      <w:tr w14:paraId="253EC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4" w:hRule="atLeast"/>
        </w:trPr>
        <w:tc>
          <w:tcPr>
            <w:tcW w:w="1940" w:type="dxa"/>
            <w:vMerge w:val="restart"/>
            <w:shd w:val="clear" w:color="auto" w:fill="D9D9D9"/>
            <w:vAlign w:val="center"/>
          </w:tcPr>
          <w:p w14:paraId="6E81B768">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r>
              <w:rPr>
                <w:rFonts w:hint="default" w:cs="宋体"/>
                <w:bCs/>
                <w:color w:val="000000"/>
                <w:sz w:val="24"/>
              </w:rPr>
              <w:t>参与集中的经营者简介（每个限100字以内）</w:t>
            </w:r>
          </w:p>
        </w:tc>
        <w:tc>
          <w:tcPr>
            <w:tcW w:w="1607" w:type="dxa"/>
            <w:vAlign w:val="center"/>
          </w:tcPr>
          <w:p w14:paraId="6AF0A4BA">
            <w:pPr>
              <w:pStyle w:val="5"/>
              <w:keepNext w:val="0"/>
              <w:keepLines w:val="0"/>
              <w:suppressLineNumbers w:val="0"/>
              <w:adjustRightInd w:val="0"/>
              <w:snapToGrid w:val="0"/>
              <w:spacing w:before="0" w:beforeAutospacing="0" w:after="0" w:afterAutospacing="0"/>
              <w:ind w:left="0" w:right="0"/>
              <w:rPr>
                <w:rFonts w:hint="default" w:eastAsia="宋体" w:cs="宋体"/>
                <w:bCs/>
                <w:color w:val="000000"/>
                <w:sz w:val="24"/>
                <w:szCs w:val="24"/>
                <w:lang w:val="en-US" w:eastAsia="zh-CN"/>
              </w:rPr>
            </w:pPr>
            <w:r>
              <w:rPr>
                <w:rFonts w:hint="eastAsia" w:cs="宋体"/>
                <w:bCs/>
                <w:color w:val="000000"/>
                <w:sz w:val="24"/>
                <w:szCs w:val="24"/>
                <w:lang w:val="en-US" w:eastAsia="zh-CN"/>
              </w:rPr>
              <w:t>1.</w:t>
            </w:r>
            <w:r>
              <w:rPr>
                <w:rFonts w:hint="eastAsia"/>
                <w:sz w:val="24"/>
                <w:lang w:val="en-US" w:eastAsia="zh-CN"/>
              </w:rPr>
              <w:t>立讯精密</w:t>
            </w:r>
          </w:p>
        </w:tc>
        <w:tc>
          <w:tcPr>
            <w:tcW w:w="6093" w:type="dxa"/>
            <w:vAlign w:val="center"/>
          </w:tcPr>
          <w:p w14:paraId="0E097A9D">
            <w:pPr>
              <w:keepNext w:val="0"/>
              <w:keepLines w:val="0"/>
              <w:suppressLineNumbers w:val="0"/>
              <w:adjustRightInd w:val="0"/>
              <w:snapToGrid w:val="0"/>
              <w:spacing w:before="0" w:beforeAutospacing="0" w:after="0" w:afterAutospacing="0"/>
              <w:ind w:left="0" w:right="0"/>
              <w:rPr>
                <w:rFonts w:hint="eastAsia" w:cs="宋体"/>
                <w:bCs/>
                <w:color w:val="000000"/>
                <w:sz w:val="24"/>
              </w:rPr>
            </w:pPr>
            <w:r>
              <w:rPr>
                <w:rFonts w:hint="eastAsia" w:cs="宋体"/>
                <w:bCs/>
                <w:color w:val="000000"/>
                <w:sz w:val="24"/>
              </w:rPr>
              <w:t>立讯精密于2004年5月24日成立于广东省深圳市，为深圳证券交易所上市公司，主要业务为电子产品（包括消费电子、电脑互联及相关精密组件）代工，此外立讯精密还从事汽车互联产品及精密组件、通讯互联产品及精密组件、其他连接器等产品的生产销售。</w:t>
            </w:r>
          </w:p>
          <w:p w14:paraId="09CCC633">
            <w:pPr>
              <w:keepNext w:val="0"/>
              <w:keepLines w:val="0"/>
              <w:suppressLineNumbers w:val="0"/>
              <w:adjustRightInd w:val="0"/>
              <w:snapToGrid w:val="0"/>
              <w:spacing w:before="0" w:beforeAutospacing="0" w:after="0" w:afterAutospacing="0"/>
              <w:ind w:left="0" w:right="0"/>
              <w:rPr>
                <w:rFonts w:hint="default" w:eastAsia="宋体"/>
                <w:sz w:val="24"/>
                <w:szCs w:val="24"/>
                <w:lang w:val="en-US" w:eastAsia="zh-CN"/>
              </w:rPr>
            </w:pPr>
            <w:r>
              <w:rPr>
                <w:rFonts w:hint="eastAsia" w:cs="宋体"/>
                <w:bCs/>
                <w:color w:val="000000"/>
                <w:sz w:val="24"/>
              </w:rPr>
              <w:t>立讯精密最终控制人为自然人，主要业务通过立讯精密开展，立讯精密的主营业务如上所述。</w:t>
            </w:r>
          </w:p>
        </w:tc>
      </w:tr>
      <w:tr w14:paraId="5E9C9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1" w:hRule="atLeast"/>
        </w:trPr>
        <w:tc>
          <w:tcPr>
            <w:tcW w:w="1940" w:type="dxa"/>
            <w:vMerge w:val="continue"/>
            <w:shd w:val="clear" w:color="auto" w:fill="D9D9D9"/>
            <w:vAlign w:val="center"/>
          </w:tcPr>
          <w:p w14:paraId="56A7BC0A">
            <w:pPr>
              <w:pStyle w:val="5"/>
              <w:keepNext w:val="0"/>
              <w:keepLines w:val="0"/>
              <w:suppressLineNumbers w:val="0"/>
              <w:adjustRightInd w:val="0"/>
              <w:snapToGrid w:val="0"/>
              <w:spacing w:before="0" w:beforeAutospacing="0" w:after="0" w:afterAutospacing="0"/>
              <w:ind w:left="0" w:right="0"/>
              <w:rPr>
                <w:rFonts w:hint="default"/>
              </w:rPr>
            </w:pPr>
          </w:p>
        </w:tc>
        <w:tc>
          <w:tcPr>
            <w:tcW w:w="1607" w:type="dxa"/>
            <w:vAlign w:val="center"/>
          </w:tcPr>
          <w:p w14:paraId="23081748">
            <w:pPr>
              <w:pStyle w:val="5"/>
              <w:keepNext w:val="0"/>
              <w:keepLines w:val="0"/>
              <w:suppressLineNumbers w:val="0"/>
              <w:adjustRightInd w:val="0"/>
              <w:snapToGrid w:val="0"/>
              <w:spacing w:before="0" w:beforeAutospacing="0" w:after="0" w:afterAutospacing="0"/>
              <w:ind w:left="0" w:right="0"/>
              <w:rPr>
                <w:rFonts w:hint="default" w:eastAsia="宋体" w:cs="宋体"/>
                <w:bCs/>
                <w:color w:val="000000"/>
                <w:sz w:val="24"/>
                <w:szCs w:val="24"/>
                <w:lang w:val="en-US" w:eastAsia="zh-CN"/>
              </w:rPr>
            </w:pPr>
            <w:r>
              <w:rPr>
                <w:rFonts w:hint="eastAsia" w:cs="宋体"/>
                <w:bCs/>
                <w:color w:val="000000"/>
                <w:sz w:val="24"/>
                <w:szCs w:val="24"/>
                <w:lang w:val="en-US" w:eastAsia="zh-CN"/>
              </w:rPr>
              <w:t>2.</w:t>
            </w:r>
            <w:r>
              <w:rPr>
                <w:rFonts w:hint="eastAsia"/>
                <w:sz w:val="24"/>
                <w:lang w:val="en-US" w:eastAsia="zh-CN"/>
              </w:rPr>
              <w:t>目标公司</w:t>
            </w:r>
          </w:p>
        </w:tc>
        <w:tc>
          <w:tcPr>
            <w:tcW w:w="6093" w:type="dxa"/>
            <w:vAlign w:val="center"/>
          </w:tcPr>
          <w:p w14:paraId="1F459E8F">
            <w:pPr>
              <w:pStyle w:val="5"/>
              <w:keepNext w:val="0"/>
              <w:keepLines w:val="0"/>
              <w:suppressLineNumbers w:val="0"/>
              <w:adjustRightInd w:val="0"/>
              <w:snapToGrid w:val="0"/>
              <w:spacing w:before="0" w:beforeAutospacing="0" w:after="0" w:afterAutospacing="0"/>
              <w:ind w:left="0" w:right="0"/>
              <w:rPr>
                <w:rFonts w:hint="eastAsia" w:cs="宋体"/>
                <w:bCs/>
                <w:color w:val="000000"/>
                <w:sz w:val="24"/>
              </w:rPr>
            </w:pPr>
            <w:r>
              <w:rPr>
                <w:rFonts w:hint="eastAsia" w:cs="宋体"/>
                <w:bCs/>
                <w:color w:val="000000"/>
                <w:sz w:val="24"/>
              </w:rPr>
              <w:t>目标公司于2022年7月20日成立于河北省张家口市，主要业务为主动式汽车减震器、被动悬架减震器等悬架产品，行车电控制动系统、电子驻车制动系统等制动产品的研发及生产销售。</w:t>
            </w:r>
          </w:p>
          <w:p w14:paraId="46210A3D">
            <w:pPr>
              <w:pStyle w:val="5"/>
              <w:keepNext w:val="0"/>
              <w:keepLines w:val="0"/>
              <w:suppressLineNumbers w:val="0"/>
              <w:adjustRightInd w:val="0"/>
              <w:snapToGrid w:val="0"/>
              <w:spacing w:before="0" w:beforeAutospacing="0" w:after="0" w:afterAutospacing="0"/>
              <w:ind w:left="0" w:right="0"/>
              <w:rPr>
                <w:rFonts w:hint="eastAsia" w:cs="宋体"/>
                <w:bCs/>
                <w:color w:val="000000"/>
                <w:sz w:val="24"/>
                <w:szCs w:val="24"/>
              </w:rPr>
            </w:pPr>
            <w:r>
              <w:rPr>
                <w:rFonts w:hint="eastAsia" w:cs="宋体"/>
                <w:bCs/>
                <w:color w:val="000000"/>
                <w:sz w:val="24"/>
              </w:rPr>
              <w:t>目标公司最终控制人为张家口产业投资控股集团有限公司，主要业务为产业投资、资产管理和产业运营。</w:t>
            </w:r>
          </w:p>
        </w:tc>
      </w:tr>
      <w:tr w14:paraId="4FB2D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shd w:val="clear" w:color="auto" w:fill="D9D9D9"/>
            <w:vAlign w:val="center"/>
          </w:tcPr>
          <w:p w14:paraId="431006CC">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r>
              <w:rPr>
                <w:rFonts w:hint="eastAsia" w:cs="宋体"/>
                <w:bCs/>
                <w:color w:val="000000"/>
                <w:sz w:val="24"/>
                <w:szCs w:val="24"/>
              </w:rPr>
              <w:t>简易案件理由（可以单选，也可以多选）</w:t>
            </w:r>
          </w:p>
        </w:tc>
        <w:tc>
          <w:tcPr>
            <w:tcW w:w="7700" w:type="dxa"/>
            <w:gridSpan w:val="2"/>
            <w:vAlign w:val="center"/>
          </w:tcPr>
          <w:p w14:paraId="210E1FC1">
            <w:pPr>
              <w:pStyle w:val="5"/>
              <w:keepNext w:val="0"/>
              <w:keepLines w:val="0"/>
              <w:suppressLineNumbers w:val="0"/>
              <w:adjustRightInd w:val="0"/>
              <w:snapToGrid w:val="0"/>
              <w:spacing w:before="0" w:beforeAutospacing="0" w:after="0" w:afterAutospacing="0"/>
              <w:ind w:left="0" w:right="0"/>
              <w:rPr>
                <w:rFonts w:hint="default" w:cs="宋体"/>
                <w:bCs/>
                <w:color w:val="000000"/>
                <w:sz w:val="24"/>
                <w:szCs w:val="24"/>
              </w:rPr>
            </w:pPr>
            <w:r>
              <w:rPr>
                <w:rFonts w:hint="eastAsia" w:cs="宋体"/>
                <w:bCs/>
                <w:color w:val="000000"/>
                <w:sz w:val="24"/>
                <w:szCs w:val="24"/>
              </w:rPr>
              <w:sym w:font="Wingdings" w:char="00A8"/>
            </w:r>
            <w:r>
              <w:rPr>
                <w:rFonts w:hint="eastAsia" w:cs="宋体"/>
                <w:bCs/>
                <w:color w:val="000000"/>
                <w:sz w:val="24"/>
                <w:szCs w:val="24"/>
              </w:rPr>
              <w:t xml:space="preserve"> 1、在同一相关市场，所有参与集中的经营者所占市场份额之和小于15%。</w:t>
            </w:r>
          </w:p>
        </w:tc>
      </w:tr>
      <w:tr w14:paraId="3BF5A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shd w:val="clear" w:color="auto" w:fill="D9D9D9"/>
            <w:vAlign w:val="center"/>
          </w:tcPr>
          <w:p w14:paraId="20949C4A">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p>
        </w:tc>
        <w:tc>
          <w:tcPr>
            <w:tcW w:w="7700" w:type="dxa"/>
            <w:gridSpan w:val="2"/>
            <w:vAlign w:val="center"/>
          </w:tcPr>
          <w:p w14:paraId="411785BD">
            <w:pPr>
              <w:pStyle w:val="5"/>
              <w:keepNext w:val="0"/>
              <w:keepLines w:val="0"/>
              <w:suppressLineNumbers w:val="0"/>
              <w:adjustRightInd w:val="0"/>
              <w:snapToGrid w:val="0"/>
              <w:spacing w:before="0" w:beforeAutospacing="0" w:after="0" w:afterAutospacing="0"/>
              <w:ind w:left="0" w:right="0"/>
              <w:rPr>
                <w:rFonts w:hint="default" w:cs="宋体"/>
                <w:bCs/>
                <w:color w:val="000000"/>
                <w:sz w:val="24"/>
                <w:szCs w:val="24"/>
              </w:rPr>
            </w:pPr>
            <w:r>
              <w:rPr>
                <w:rFonts w:hint="eastAsia" w:cs="宋体"/>
                <w:bCs/>
                <w:color w:val="000000"/>
                <w:sz w:val="24"/>
                <w:szCs w:val="24"/>
              </w:rPr>
              <w:sym w:font="Wingdings" w:char="00FE"/>
            </w:r>
            <w:r>
              <w:rPr>
                <w:rFonts w:hint="eastAsia" w:cs="宋体"/>
                <w:bCs/>
                <w:color w:val="000000"/>
                <w:sz w:val="24"/>
                <w:szCs w:val="24"/>
              </w:rPr>
              <w:t xml:space="preserve"> 2、存在上下游关系的参与集中的经营者，在上下游市场所占的市场份额均小于25%。</w:t>
            </w:r>
          </w:p>
        </w:tc>
      </w:tr>
      <w:tr w14:paraId="73FCB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0" w:type="dxa"/>
            <w:vMerge w:val="continue"/>
            <w:shd w:val="clear" w:color="auto" w:fill="D9D9D9"/>
            <w:vAlign w:val="center"/>
          </w:tcPr>
          <w:p w14:paraId="182B3636">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p>
        </w:tc>
        <w:tc>
          <w:tcPr>
            <w:tcW w:w="7700" w:type="dxa"/>
            <w:gridSpan w:val="2"/>
            <w:vAlign w:val="center"/>
          </w:tcPr>
          <w:p w14:paraId="13C2FA56">
            <w:pPr>
              <w:pStyle w:val="5"/>
              <w:keepNext w:val="0"/>
              <w:keepLines w:val="0"/>
              <w:suppressLineNumbers w:val="0"/>
              <w:adjustRightInd w:val="0"/>
              <w:snapToGrid w:val="0"/>
              <w:spacing w:before="0" w:beforeAutospacing="0" w:after="0" w:afterAutospacing="0"/>
              <w:ind w:left="0" w:right="0"/>
              <w:rPr>
                <w:rFonts w:hint="default" w:cs="宋体"/>
                <w:bCs/>
                <w:color w:val="000000"/>
                <w:sz w:val="24"/>
                <w:szCs w:val="24"/>
              </w:rPr>
            </w:pPr>
            <w:r>
              <w:rPr>
                <w:rFonts w:hint="eastAsia" w:cs="宋体"/>
                <w:bCs/>
                <w:color w:val="000000"/>
                <w:sz w:val="24"/>
                <w:szCs w:val="24"/>
              </w:rPr>
              <w:sym w:font="Wingdings" w:char="00FE"/>
            </w:r>
            <w:r>
              <w:rPr>
                <w:rFonts w:hint="eastAsia" w:cs="宋体"/>
                <w:bCs/>
                <w:color w:val="000000"/>
                <w:sz w:val="24"/>
                <w:szCs w:val="24"/>
              </w:rPr>
              <w:t xml:space="preserve"> 3、不在同一相关市场、也不存在上下游关系的参与集中的经营者，在与交易有关的每个市场所占的份额均小于25%。</w:t>
            </w:r>
          </w:p>
        </w:tc>
      </w:tr>
      <w:tr w14:paraId="658AC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940" w:type="dxa"/>
            <w:vMerge w:val="continue"/>
            <w:shd w:val="clear" w:color="auto" w:fill="D9D9D9"/>
            <w:vAlign w:val="center"/>
          </w:tcPr>
          <w:p w14:paraId="4E853668">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p>
        </w:tc>
        <w:tc>
          <w:tcPr>
            <w:tcW w:w="7700" w:type="dxa"/>
            <w:gridSpan w:val="2"/>
            <w:vAlign w:val="center"/>
          </w:tcPr>
          <w:p w14:paraId="0F5A4950">
            <w:pPr>
              <w:pStyle w:val="5"/>
              <w:keepNext w:val="0"/>
              <w:keepLines w:val="0"/>
              <w:suppressLineNumbers w:val="0"/>
              <w:adjustRightInd w:val="0"/>
              <w:snapToGrid w:val="0"/>
              <w:spacing w:before="0" w:beforeAutospacing="0" w:after="0" w:afterAutospacing="0"/>
              <w:ind w:left="0" w:right="0"/>
              <w:rPr>
                <w:rFonts w:hint="default" w:cs="宋体"/>
                <w:bCs/>
                <w:color w:val="000000"/>
                <w:sz w:val="24"/>
                <w:szCs w:val="24"/>
              </w:rPr>
            </w:pPr>
            <w:r>
              <w:rPr>
                <w:rFonts w:hint="eastAsia" w:cs="宋体"/>
                <w:bCs/>
                <w:color w:val="000000"/>
                <w:sz w:val="24"/>
                <w:szCs w:val="24"/>
              </w:rPr>
              <w:sym w:font="Wingdings" w:char="00A8"/>
            </w:r>
            <w:r>
              <w:rPr>
                <w:rFonts w:hint="eastAsia" w:cs="宋体"/>
                <w:bCs/>
                <w:color w:val="000000"/>
                <w:sz w:val="24"/>
                <w:szCs w:val="24"/>
              </w:rPr>
              <w:t xml:space="preserve"> 4、参与集中的经营者在中国境外设立合营企业，合营企业不在中国境内从事经济活动。</w:t>
            </w:r>
          </w:p>
        </w:tc>
      </w:tr>
      <w:tr w14:paraId="39683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940" w:type="dxa"/>
            <w:vMerge w:val="continue"/>
            <w:shd w:val="clear" w:color="auto" w:fill="D9D9D9"/>
            <w:vAlign w:val="center"/>
          </w:tcPr>
          <w:p w14:paraId="5A71A93E">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p>
        </w:tc>
        <w:tc>
          <w:tcPr>
            <w:tcW w:w="7700" w:type="dxa"/>
            <w:gridSpan w:val="2"/>
            <w:vAlign w:val="center"/>
          </w:tcPr>
          <w:p w14:paraId="233336D2">
            <w:pPr>
              <w:pStyle w:val="5"/>
              <w:keepNext w:val="0"/>
              <w:keepLines w:val="0"/>
              <w:suppressLineNumbers w:val="0"/>
              <w:adjustRightInd w:val="0"/>
              <w:snapToGrid w:val="0"/>
              <w:spacing w:before="0" w:beforeAutospacing="0" w:after="0" w:afterAutospacing="0"/>
              <w:ind w:left="0" w:right="0"/>
              <w:rPr>
                <w:rFonts w:hint="default" w:cs="宋体"/>
                <w:bCs/>
                <w:color w:val="000000"/>
                <w:sz w:val="24"/>
                <w:szCs w:val="24"/>
              </w:rPr>
            </w:pPr>
            <w:r>
              <w:rPr>
                <w:rFonts w:hint="eastAsia" w:cs="宋体"/>
                <w:bCs/>
                <w:color w:val="000000"/>
                <w:sz w:val="24"/>
                <w:szCs w:val="24"/>
              </w:rPr>
              <w:sym w:font="Wingdings" w:char="00A8"/>
            </w:r>
            <w:r>
              <w:rPr>
                <w:rFonts w:hint="eastAsia" w:cs="宋体"/>
                <w:bCs/>
                <w:color w:val="000000"/>
                <w:sz w:val="24"/>
                <w:szCs w:val="24"/>
              </w:rPr>
              <w:t xml:space="preserve"> 5、参与集中的经营者收购境外企业股权或资产的，该境外企业不在中国境内从事经济活动。</w:t>
            </w:r>
          </w:p>
        </w:tc>
      </w:tr>
      <w:tr w14:paraId="18E02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shd w:val="clear" w:color="auto" w:fill="D9D9D9"/>
            <w:vAlign w:val="center"/>
          </w:tcPr>
          <w:p w14:paraId="736EDF41">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p>
        </w:tc>
        <w:tc>
          <w:tcPr>
            <w:tcW w:w="7700" w:type="dxa"/>
            <w:gridSpan w:val="2"/>
            <w:vAlign w:val="center"/>
          </w:tcPr>
          <w:p w14:paraId="79C24F0A">
            <w:pPr>
              <w:pStyle w:val="5"/>
              <w:keepNext w:val="0"/>
              <w:keepLines w:val="0"/>
              <w:suppressLineNumbers w:val="0"/>
              <w:adjustRightInd w:val="0"/>
              <w:snapToGrid w:val="0"/>
              <w:spacing w:before="0" w:beforeAutospacing="0" w:after="0" w:afterAutospacing="0"/>
              <w:ind w:left="0" w:right="0"/>
              <w:rPr>
                <w:rFonts w:hint="default" w:cs="宋体"/>
                <w:bCs/>
                <w:color w:val="000000"/>
                <w:sz w:val="24"/>
                <w:szCs w:val="24"/>
              </w:rPr>
            </w:pPr>
            <w:r>
              <w:rPr>
                <w:rFonts w:hint="eastAsia" w:cs="宋体"/>
                <w:bCs/>
                <w:color w:val="000000"/>
                <w:sz w:val="24"/>
                <w:szCs w:val="24"/>
              </w:rPr>
              <w:sym w:font="Wingdings" w:char="00A8"/>
            </w:r>
            <w:r>
              <w:rPr>
                <w:rFonts w:hint="eastAsia" w:cs="宋体"/>
                <w:bCs/>
                <w:color w:val="000000"/>
                <w:sz w:val="24"/>
                <w:szCs w:val="24"/>
              </w:rPr>
              <w:t xml:space="preserve"> 6、由两个以上的经营者共同控制的合营企业，通过集中被其中一个或一个以上经营者控制。</w:t>
            </w:r>
          </w:p>
        </w:tc>
      </w:tr>
      <w:tr w14:paraId="03BB8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trPr>
        <w:tc>
          <w:tcPr>
            <w:tcW w:w="1940" w:type="dxa"/>
            <w:shd w:val="clear" w:color="auto" w:fill="D9D9D9"/>
            <w:vAlign w:val="center"/>
          </w:tcPr>
          <w:p w14:paraId="20477018">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r>
              <w:rPr>
                <w:rFonts w:hint="eastAsia" w:cs="宋体"/>
                <w:bCs/>
                <w:color w:val="000000"/>
                <w:sz w:val="24"/>
                <w:szCs w:val="24"/>
              </w:rPr>
              <w:t>备注</w:t>
            </w:r>
          </w:p>
        </w:tc>
        <w:tc>
          <w:tcPr>
            <w:tcW w:w="7700" w:type="dxa"/>
            <w:gridSpan w:val="2"/>
            <w:vAlign w:val="center"/>
          </w:tcPr>
          <w:p w14:paraId="09C6277F">
            <w:pPr>
              <w:pStyle w:val="5"/>
              <w:keepNext w:val="0"/>
              <w:keepLines w:val="0"/>
              <w:suppressLineNumbers w:val="0"/>
              <w:adjustRightInd w:val="0"/>
              <w:snapToGrid w:val="0"/>
              <w:spacing w:before="0" w:beforeAutospacing="0" w:after="0" w:afterAutospacing="0"/>
              <w:ind w:left="0" w:right="0"/>
              <w:rPr>
                <w:rFonts w:hint="default" w:cs="Times New Roman"/>
                <w:bCs/>
                <w:color w:val="000000"/>
                <w:sz w:val="24"/>
                <w:lang w:val="en-US" w:eastAsia="zh-CN"/>
              </w:rPr>
            </w:pPr>
            <w:r>
              <w:rPr>
                <w:rFonts w:hint="eastAsia" w:cs="Times New Roman"/>
                <w:b/>
                <w:color w:val="000000"/>
                <w:sz w:val="24"/>
                <w:lang w:val="en-US" w:eastAsia="zh-CN"/>
              </w:rPr>
              <w:t>纵向关联</w:t>
            </w:r>
            <w:r>
              <w:rPr>
                <w:rFonts w:hint="eastAsia" w:cs="Times New Roman"/>
                <w:bCs/>
                <w:color w:val="000000"/>
                <w:sz w:val="24"/>
                <w:lang w:val="en-US" w:eastAsia="zh-CN"/>
              </w:rPr>
              <w:t>：</w:t>
            </w:r>
          </w:p>
          <w:p w14:paraId="6C989766">
            <w:pPr>
              <w:pStyle w:val="5"/>
              <w:keepNext w:val="0"/>
              <w:keepLines w:val="0"/>
              <w:suppressLineNumbers w:val="0"/>
              <w:adjustRightInd w:val="0"/>
              <w:snapToGrid w:val="0"/>
              <w:spacing w:before="0" w:beforeAutospacing="0" w:after="0" w:afterAutospacing="0"/>
              <w:ind w:left="0" w:right="0"/>
              <w:rPr>
                <w:rFonts w:hint="default"/>
                <w:sz w:val="24"/>
                <w:lang w:eastAsia="zh-CN"/>
              </w:rPr>
            </w:pPr>
            <w:r>
              <w:rPr>
                <w:rFonts w:hint="eastAsia"/>
                <w:sz w:val="24"/>
                <w:lang w:eastAsia="zh-CN"/>
              </w:rPr>
              <w:t>上游：2025年中国境内汽车线束市场：</w:t>
            </w:r>
          </w:p>
          <w:p w14:paraId="5F4D40B8">
            <w:pPr>
              <w:pStyle w:val="5"/>
              <w:keepNext w:val="0"/>
              <w:keepLines w:val="0"/>
              <w:suppressLineNumbers w:val="0"/>
              <w:adjustRightInd w:val="0"/>
              <w:snapToGrid w:val="0"/>
              <w:spacing w:before="0" w:beforeAutospacing="0" w:after="0" w:afterAutospacing="0"/>
              <w:ind w:left="0" w:right="0"/>
              <w:rPr>
                <w:rFonts w:hint="default"/>
                <w:sz w:val="24"/>
                <w:lang w:eastAsia="zh-CN"/>
              </w:rPr>
            </w:pPr>
            <w:r>
              <w:rPr>
                <w:rFonts w:hint="eastAsia"/>
                <w:sz w:val="24"/>
                <w:lang w:eastAsia="zh-CN"/>
              </w:rPr>
              <w:t>立讯精密：</w:t>
            </w:r>
            <w:r>
              <w:rPr>
                <w:rFonts w:hint="eastAsia" w:cs="Times New Roman"/>
                <w:bCs/>
                <w:color w:val="000000"/>
                <w:sz w:val="24"/>
                <w:lang w:val="en-US" w:eastAsia="zh-CN"/>
              </w:rPr>
              <w:t>5-10%</w:t>
            </w:r>
          </w:p>
          <w:p w14:paraId="260AD83C">
            <w:pPr>
              <w:pStyle w:val="5"/>
              <w:keepNext w:val="0"/>
              <w:keepLines w:val="0"/>
              <w:suppressLineNumbers w:val="0"/>
              <w:adjustRightInd w:val="0"/>
              <w:snapToGrid w:val="0"/>
              <w:spacing w:before="0" w:beforeAutospacing="0" w:after="0" w:afterAutospacing="0"/>
              <w:ind w:left="0" w:right="0"/>
              <w:rPr>
                <w:rFonts w:hint="default"/>
                <w:sz w:val="24"/>
                <w:lang w:eastAsia="zh-CN"/>
              </w:rPr>
            </w:pPr>
            <w:r>
              <w:rPr>
                <w:rFonts w:hint="eastAsia"/>
                <w:sz w:val="24"/>
                <w:lang w:eastAsia="zh-CN"/>
              </w:rPr>
              <w:t>下游1：2025年中国境内主动式汽车减震器市场：</w:t>
            </w:r>
          </w:p>
          <w:p w14:paraId="005C282A">
            <w:pPr>
              <w:pStyle w:val="5"/>
              <w:keepNext w:val="0"/>
              <w:keepLines w:val="0"/>
              <w:suppressLineNumbers w:val="0"/>
              <w:adjustRightInd w:val="0"/>
              <w:snapToGrid w:val="0"/>
              <w:spacing w:before="0" w:beforeAutospacing="0" w:after="0" w:afterAutospacing="0"/>
              <w:ind w:left="0" w:right="0"/>
              <w:rPr>
                <w:rFonts w:hint="default"/>
                <w:sz w:val="24"/>
                <w:lang w:eastAsia="zh-CN"/>
              </w:rPr>
            </w:pPr>
            <w:r>
              <w:rPr>
                <w:rFonts w:hint="eastAsia"/>
                <w:sz w:val="24"/>
                <w:lang w:eastAsia="zh-CN"/>
              </w:rPr>
              <w:t>目标公司：</w:t>
            </w:r>
            <w:r>
              <w:rPr>
                <w:rFonts w:hint="eastAsia" w:cs="Times New Roman"/>
                <w:bCs/>
                <w:color w:val="000000"/>
                <w:sz w:val="24"/>
                <w:lang w:val="en-US" w:eastAsia="zh-CN"/>
              </w:rPr>
              <w:t>0-5%</w:t>
            </w:r>
          </w:p>
          <w:p w14:paraId="1A98A2EF">
            <w:pPr>
              <w:pStyle w:val="5"/>
              <w:keepNext w:val="0"/>
              <w:keepLines w:val="0"/>
              <w:suppressLineNumbers w:val="0"/>
              <w:adjustRightInd w:val="0"/>
              <w:snapToGrid w:val="0"/>
              <w:spacing w:before="0" w:beforeAutospacing="0" w:after="0" w:afterAutospacing="0"/>
              <w:ind w:left="0" w:right="0"/>
              <w:rPr>
                <w:rFonts w:hint="default"/>
                <w:sz w:val="24"/>
                <w:lang w:eastAsia="zh-CN"/>
              </w:rPr>
            </w:pPr>
            <w:r>
              <w:rPr>
                <w:rFonts w:hint="eastAsia"/>
                <w:sz w:val="24"/>
                <w:lang w:eastAsia="zh-CN"/>
              </w:rPr>
              <w:t>下游2：2025年中国境内行车电控制动系统市场：</w:t>
            </w:r>
          </w:p>
          <w:p w14:paraId="1612605F">
            <w:pPr>
              <w:pStyle w:val="5"/>
              <w:keepNext w:val="0"/>
              <w:keepLines w:val="0"/>
              <w:suppressLineNumbers w:val="0"/>
              <w:adjustRightInd w:val="0"/>
              <w:snapToGrid w:val="0"/>
              <w:spacing w:before="0" w:beforeAutospacing="0" w:after="0" w:afterAutospacing="0"/>
              <w:ind w:left="0" w:right="0"/>
              <w:rPr>
                <w:rFonts w:hint="default"/>
                <w:sz w:val="24"/>
                <w:lang w:eastAsia="zh-CN"/>
              </w:rPr>
            </w:pPr>
            <w:r>
              <w:rPr>
                <w:rFonts w:hint="eastAsia"/>
                <w:sz w:val="24"/>
                <w:lang w:eastAsia="zh-CN"/>
              </w:rPr>
              <w:t>目标公司：</w:t>
            </w:r>
            <w:r>
              <w:rPr>
                <w:rFonts w:hint="eastAsia" w:cs="Times New Roman"/>
                <w:bCs/>
                <w:color w:val="000000"/>
                <w:sz w:val="24"/>
                <w:lang w:val="en-US" w:eastAsia="zh-CN"/>
              </w:rPr>
              <w:t>0-5%</w:t>
            </w:r>
          </w:p>
          <w:p w14:paraId="58161C6A">
            <w:pPr>
              <w:pStyle w:val="5"/>
              <w:keepNext w:val="0"/>
              <w:keepLines w:val="0"/>
              <w:suppressLineNumbers w:val="0"/>
              <w:adjustRightInd w:val="0"/>
              <w:snapToGrid w:val="0"/>
              <w:spacing w:before="0" w:beforeAutospacing="0" w:after="0" w:afterAutospacing="0"/>
              <w:ind w:left="0" w:right="0"/>
              <w:rPr>
                <w:rFonts w:hint="default"/>
                <w:sz w:val="24"/>
                <w:lang w:eastAsia="zh-CN"/>
              </w:rPr>
            </w:pPr>
            <w:r>
              <w:rPr>
                <w:rFonts w:hint="eastAsia"/>
                <w:sz w:val="24"/>
                <w:lang w:eastAsia="zh-CN"/>
              </w:rPr>
              <w:t>下游3：2025年中国境内电子驻车制动系统市场：</w:t>
            </w:r>
          </w:p>
          <w:p w14:paraId="0879F57F">
            <w:pPr>
              <w:pStyle w:val="5"/>
              <w:keepNext w:val="0"/>
              <w:keepLines w:val="0"/>
              <w:suppressLineNumbers w:val="0"/>
              <w:adjustRightInd w:val="0"/>
              <w:snapToGrid w:val="0"/>
              <w:spacing w:before="0" w:beforeAutospacing="0" w:after="0" w:afterAutospacing="0"/>
              <w:ind w:left="0" w:right="0"/>
              <w:rPr>
                <w:rFonts w:hint="default" w:cs="Times New Roman"/>
                <w:bCs/>
                <w:color w:val="000000"/>
                <w:sz w:val="24"/>
                <w:lang w:val="en-US" w:eastAsia="zh-CN"/>
              </w:rPr>
            </w:pPr>
            <w:r>
              <w:rPr>
                <w:rFonts w:hint="eastAsia"/>
                <w:sz w:val="24"/>
                <w:lang w:eastAsia="zh-CN"/>
              </w:rPr>
              <w:t>目标公司：</w:t>
            </w:r>
            <w:r>
              <w:rPr>
                <w:rFonts w:hint="eastAsia" w:cs="Times New Roman"/>
                <w:bCs/>
                <w:color w:val="000000"/>
                <w:sz w:val="24"/>
                <w:lang w:val="en-US" w:eastAsia="zh-CN"/>
              </w:rPr>
              <w:t>0-5%</w:t>
            </w:r>
          </w:p>
          <w:p w14:paraId="367C1297">
            <w:pPr>
              <w:pStyle w:val="5"/>
              <w:keepNext w:val="0"/>
              <w:keepLines w:val="0"/>
              <w:suppressLineNumbers w:val="0"/>
              <w:adjustRightInd w:val="0"/>
              <w:snapToGrid w:val="0"/>
              <w:spacing w:before="0" w:beforeAutospacing="0" w:after="0" w:afterAutospacing="0"/>
              <w:ind w:left="0" w:right="0"/>
              <w:rPr>
                <w:rFonts w:hint="default"/>
                <w:b/>
                <w:bCs/>
                <w:sz w:val="24"/>
                <w:lang w:eastAsia="zh-CN"/>
              </w:rPr>
            </w:pPr>
            <w:r>
              <w:rPr>
                <w:rFonts w:hint="eastAsia"/>
                <w:b/>
                <w:bCs/>
                <w:sz w:val="24"/>
              </w:rPr>
              <w:t>相邻</w:t>
            </w:r>
            <w:r>
              <w:rPr>
                <w:rFonts w:hint="eastAsia"/>
                <w:b/>
                <w:bCs/>
                <w:sz w:val="24"/>
                <w:lang w:eastAsia="zh-CN"/>
              </w:rPr>
              <w:t>关系：</w:t>
            </w:r>
          </w:p>
          <w:p w14:paraId="449809CC">
            <w:pPr>
              <w:pStyle w:val="5"/>
              <w:keepNext w:val="0"/>
              <w:keepLines w:val="0"/>
              <w:suppressLineNumbers w:val="0"/>
              <w:adjustRightInd w:val="0"/>
              <w:snapToGrid w:val="0"/>
              <w:spacing w:before="0" w:beforeAutospacing="0" w:after="0" w:afterAutospacing="0"/>
              <w:ind w:left="0" w:right="0"/>
              <w:rPr>
                <w:rFonts w:hint="default"/>
                <w:sz w:val="24"/>
                <w:lang w:eastAsia="zh-CN"/>
              </w:rPr>
            </w:pPr>
            <w:r>
              <w:rPr>
                <w:rFonts w:hint="eastAsia"/>
                <w:sz w:val="24"/>
                <w:lang w:eastAsia="zh-CN"/>
              </w:rPr>
              <w:t>2025年中国境内汽车控制器市场：</w:t>
            </w:r>
          </w:p>
          <w:p w14:paraId="34EABAA3">
            <w:pPr>
              <w:pStyle w:val="5"/>
              <w:keepNext w:val="0"/>
              <w:keepLines w:val="0"/>
              <w:suppressLineNumbers w:val="0"/>
              <w:adjustRightInd w:val="0"/>
              <w:snapToGrid w:val="0"/>
              <w:spacing w:before="0" w:beforeAutospacing="0" w:after="0" w:afterAutospacing="0"/>
              <w:ind w:left="0" w:right="0"/>
              <w:rPr>
                <w:rFonts w:hint="default"/>
                <w:sz w:val="24"/>
                <w:lang w:eastAsia="zh-CN"/>
              </w:rPr>
            </w:pPr>
            <w:r>
              <w:rPr>
                <w:rFonts w:hint="eastAsia"/>
                <w:sz w:val="24"/>
                <w:lang w:eastAsia="zh-CN"/>
              </w:rPr>
              <w:t>立讯精密：0-5%</w:t>
            </w:r>
          </w:p>
          <w:p w14:paraId="6FC35330">
            <w:pPr>
              <w:pStyle w:val="5"/>
              <w:keepNext w:val="0"/>
              <w:keepLines w:val="0"/>
              <w:suppressLineNumbers w:val="0"/>
              <w:adjustRightInd w:val="0"/>
              <w:snapToGrid w:val="0"/>
              <w:spacing w:before="0" w:beforeAutospacing="0" w:after="0" w:afterAutospacing="0"/>
              <w:ind w:left="0" w:right="0"/>
              <w:rPr>
                <w:rFonts w:hint="default"/>
                <w:sz w:val="24"/>
                <w:lang w:eastAsia="zh-CN"/>
              </w:rPr>
            </w:pPr>
            <w:r>
              <w:rPr>
                <w:rFonts w:hint="eastAsia"/>
                <w:sz w:val="24"/>
                <w:lang w:eastAsia="zh-CN"/>
              </w:rPr>
              <w:t>2025年中国境内主动式汽车减震器市场：</w:t>
            </w:r>
          </w:p>
          <w:p w14:paraId="3420BD8F">
            <w:pPr>
              <w:pStyle w:val="5"/>
              <w:keepNext w:val="0"/>
              <w:keepLines w:val="0"/>
              <w:suppressLineNumbers w:val="0"/>
              <w:adjustRightInd w:val="0"/>
              <w:snapToGrid w:val="0"/>
              <w:spacing w:before="0" w:beforeAutospacing="0" w:after="0" w:afterAutospacing="0"/>
              <w:ind w:left="0" w:right="0"/>
              <w:rPr>
                <w:rFonts w:hint="default"/>
                <w:sz w:val="24"/>
                <w:lang w:eastAsia="zh-CN"/>
              </w:rPr>
            </w:pPr>
            <w:r>
              <w:rPr>
                <w:rFonts w:hint="eastAsia"/>
                <w:sz w:val="24"/>
                <w:lang w:eastAsia="zh-CN"/>
              </w:rPr>
              <w:t>目标公司：如上所述</w:t>
            </w:r>
          </w:p>
          <w:p w14:paraId="4312EB71">
            <w:pPr>
              <w:pStyle w:val="5"/>
              <w:keepNext w:val="0"/>
              <w:keepLines w:val="0"/>
              <w:suppressLineNumbers w:val="0"/>
              <w:adjustRightInd w:val="0"/>
              <w:snapToGrid w:val="0"/>
              <w:spacing w:before="0" w:beforeAutospacing="0" w:after="0" w:afterAutospacing="0"/>
              <w:ind w:left="0" w:right="0"/>
              <w:rPr>
                <w:rFonts w:hint="default"/>
                <w:sz w:val="24"/>
                <w:lang w:eastAsia="zh-CN"/>
              </w:rPr>
            </w:pPr>
            <w:r>
              <w:rPr>
                <w:rFonts w:hint="eastAsia"/>
                <w:sz w:val="24"/>
                <w:lang w:eastAsia="zh-CN"/>
              </w:rPr>
              <w:t>2025年中国境内行车电控制动系统市场：</w:t>
            </w:r>
          </w:p>
          <w:p w14:paraId="25B5E0EC">
            <w:pPr>
              <w:pStyle w:val="5"/>
              <w:keepNext w:val="0"/>
              <w:keepLines w:val="0"/>
              <w:suppressLineNumbers w:val="0"/>
              <w:adjustRightInd w:val="0"/>
              <w:snapToGrid w:val="0"/>
              <w:spacing w:before="0" w:beforeAutospacing="0" w:after="0" w:afterAutospacing="0"/>
              <w:ind w:left="0" w:right="0"/>
              <w:rPr>
                <w:rFonts w:hint="default"/>
                <w:sz w:val="24"/>
                <w:lang w:eastAsia="zh-CN"/>
              </w:rPr>
            </w:pPr>
            <w:r>
              <w:rPr>
                <w:rFonts w:hint="eastAsia"/>
                <w:sz w:val="24"/>
                <w:lang w:eastAsia="zh-CN"/>
              </w:rPr>
              <w:t>目标公司：如上所述</w:t>
            </w:r>
          </w:p>
          <w:p w14:paraId="5CDEA9FE">
            <w:pPr>
              <w:pStyle w:val="5"/>
              <w:keepNext w:val="0"/>
              <w:keepLines w:val="0"/>
              <w:suppressLineNumbers w:val="0"/>
              <w:adjustRightInd w:val="0"/>
              <w:snapToGrid w:val="0"/>
              <w:spacing w:before="0" w:beforeAutospacing="0" w:after="0" w:afterAutospacing="0"/>
              <w:ind w:left="0" w:right="0"/>
              <w:rPr>
                <w:rFonts w:hint="default"/>
                <w:sz w:val="24"/>
                <w:lang w:eastAsia="zh-CN"/>
              </w:rPr>
            </w:pPr>
            <w:r>
              <w:rPr>
                <w:rFonts w:hint="eastAsia"/>
                <w:sz w:val="24"/>
                <w:lang w:eastAsia="zh-CN"/>
              </w:rPr>
              <w:t>2025年中国境内电子驻车制动系统市场：</w:t>
            </w:r>
          </w:p>
          <w:p w14:paraId="5C8DF508">
            <w:pPr>
              <w:pStyle w:val="5"/>
              <w:keepNext w:val="0"/>
              <w:keepLines w:val="0"/>
              <w:suppressLineNumbers w:val="0"/>
              <w:adjustRightInd w:val="0"/>
              <w:snapToGrid w:val="0"/>
              <w:spacing w:before="0" w:beforeAutospacing="0" w:after="0" w:afterAutospacing="0"/>
              <w:ind w:left="0" w:right="0"/>
              <w:rPr>
                <w:rFonts w:hint="default"/>
                <w:sz w:val="24"/>
                <w:lang w:eastAsia="zh-CN"/>
              </w:rPr>
            </w:pPr>
            <w:r>
              <w:rPr>
                <w:rFonts w:hint="eastAsia"/>
                <w:sz w:val="24"/>
                <w:lang w:eastAsia="zh-CN"/>
              </w:rPr>
              <w:t>目标公司：如上所述</w:t>
            </w:r>
          </w:p>
          <w:p w14:paraId="4ACF237F">
            <w:pPr>
              <w:pStyle w:val="5"/>
              <w:keepNext w:val="0"/>
              <w:keepLines w:val="0"/>
              <w:suppressLineNumbers w:val="0"/>
              <w:adjustRightInd w:val="0"/>
              <w:snapToGrid w:val="0"/>
              <w:spacing w:before="0" w:beforeAutospacing="0" w:after="0" w:afterAutospacing="0"/>
              <w:ind w:left="0" w:right="0"/>
              <w:rPr>
                <w:rFonts w:hint="default"/>
                <w:b/>
                <w:bCs/>
                <w:sz w:val="24"/>
                <w:lang w:eastAsia="zh-CN"/>
              </w:rPr>
            </w:pPr>
            <w:r>
              <w:rPr>
                <w:rFonts w:hint="eastAsia"/>
                <w:b/>
                <w:bCs/>
                <w:sz w:val="24"/>
                <w:lang w:eastAsia="zh-CN"/>
              </w:rPr>
              <w:t>混合关系：</w:t>
            </w:r>
          </w:p>
          <w:p w14:paraId="61FB839E">
            <w:pPr>
              <w:pStyle w:val="5"/>
              <w:keepNext w:val="0"/>
              <w:keepLines w:val="0"/>
              <w:suppressLineNumbers w:val="0"/>
              <w:adjustRightInd w:val="0"/>
              <w:snapToGrid w:val="0"/>
              <w:spacing w:before="0" w:beforeAutospacing="0" w:after="0" w:afterAutospacing="0"/>
              <w:ind w:left="0" w:right="0"/>
              <w:rPr>
                <w:rFonts w:hint="default"/>
                <w:sz w:val="24"/>
                <w:lang w:eastAsia="zh-CN"/>
              </w:rPr>
            </w:pPr>
            <w:r>
              <w:rPr>
                <w:rFonts w:hint="eastAsia"/>
                <w:sz w:val="24"/>
                <w:lang w:eastAsia="zh-CN"/>
              </w:rPr>
              <w:t>2025年中国境内被动式汽车减震器市场：</w:t>
            </w:r>
          </w:p>
          <w:p w14:paraId="113F9943">
            <w:pPr>
              <w:pStyle w:val="5"/>
              <w:keepNext w:val="0"/>
              <w:keepLines w:val="0"/>
              <w:suppressLineNumbers w:val="0"/>
              <w:adjustRightInd w:val="0"/>
              <w:snapToGrid w:val="0"/>
              <w:spacing w:before="0" w:beforeAutospacing="0" w:after="0" w:afterAutospacing="0" w:line="320" w:lineRule="exact"/>
              <w:ind w:left="0" w:right="0"/>
              <w:rPr>
                <w:rFonts w:hint="eastAsia" w:eastAsia="宋体" w:cs="Times New Roman"/>
                <w:b w:val="0"/>
                <w:bCs/>
                <w:color w:val="000000" w:themeColor="text1"/>
                <w:kern w:val="0"/>
                <w:sz w:val="24"/>
                <w:lang w:eastAsia="zh-CN" w:bidi="ar-AE"/>
                <w14:textFill>
                  <w14:solidFill>
                    <w14:schemeClr w14:val="tx1"/>
                  </w14:solidFill>
                </w14:textFill>
              </w:rPr>
            </w:pPr>
            <w:r>
              <w:rPr>
                <w:rFonts w:hint="eastAsia" w:cs="Times New Roman"/>
                <w:bCs/>
                <w:color w:val="000000"/>
                <w:sz w:val="24"/>
                <w:lang w:val="en-US" w:eastAsia="zh-CN"/>
              </w:rPr>
              <w:t>目标公司：0-5%</w:t>
            </w:r>
          </w:p>
        </w:tc>
      </w:tr>
    </w:tbl>
    <w:p w14:paraId="13AC1DF4">
      <w:pPr>
        <w:pStyle w:val="3"/>
        <w:rPr>
          <w:rFonts w:hint="default"/>
        </w:rPr>
      </w:pP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34"/>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2010601030101010101"/>
    <w:charset w:val="86"/>
    <w:family w:val="script"/>
    <w:pitch w:val="default"/>
    <w:sig w:usb0="00000001" w:usb1="080E0000" w:usb2="00000000" w:usb3="00000000" w:csb0="00040000" w:csb1="00000000"/>
  </w:font>
  <w:font w:name="Simplified Arabic">
    <w:panose1 w:val="02020603050405020304"/>
    <w:charset w:val="B2"/>
    <w:family w:val="roman"/>
    <w:pitch w:val="default"/>
    <w:sig w:usb0="00002003" w:usb1="00000000" w:usb2="00000000" w:usb3="00000000" w:csb0="00000041" w:csb1="20080000"/>
  </w:font>
  <w:font w:name="楷体_GB2312">
    <w:panose1 w:val="02010609030101010101"/>
    <w:charset w:val="86"/>
    <w:family w:val="modern"/>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A7018B">
    <w:pPr>
      <w:pStyle w:val="6"/>
      <w:tabs>
        <w:tab w:val="clear" w:pos="4153"/>
      </w:tabs>
    </w:pPr>
    <w:r>
      <w:rPr>
        <w:rFonts w:hint="eastAsia"/>
        <w:lang w:eastAsia="zh-CN"/>
      </w:rPr>
      <w:tab/>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NmMTI0ODhhNzFmMGU3MTZhMTA0ODYxYzI1N2YwYjIifQ=="/>
  </w:docVars>
  <w:rsids>
    <w:rsidRoot w:val="511505E7"/>
    <w:rsid w:val="00042BDD"/>
    <w:rsid w:val="0007692D"/>
    <w:rsid w:val="00087338"/>
    <w:rsid w:val="00114814"/>
    <w:rsid w:val="001B50F2"/>
    <w:rsid w:val="001C6148"/>
    <w:rsid w:val="001F1C3C"/>
    <w:rsid w:val="0022179C"/>
    <w:rsid w:val="00221FCA"/>
    <w:rsid w:val="00244DF9"/>
    <w:rsid w:val="00284710"/>
    <w:rsid w:val="00332EAC"/>
    <w:rsid w:val="00346B84"/>
    <w:rsid w:val="00367A54"/>
    <w:rsid w:val="004C4C54"/>
    <w:rsid w:val="00500F51"/>
    <w:rsid w:val="00504BEC"/>
    <w:rsid w:val="00507863"/>
    <w:rsid w:val="005C4EFC"/>
    <w:rsid w:val="0062408E"/>
    <w:rsid w:val="00627CE6"/>
    <w:rsid w:val="00646E32"/>
    <w:rsid w:val="006A20C6"/>
    <w:rsid w:val="006C3B44"/>
    <w:rsid w:val="00707821"/>
    <w:rsid w:val="0072474D"/>
    <w:rsid w:val="00734F51"/>
    <w:rsid w:val="007D63FA"/>
    <w:rsid w:val="007F706B"/>
    <w:rsid w:val="00816711"/>
    <w:rsid w:val="00826195"/>
    <w:rsid w:val="008472A3"/>
    <w:rsid w:val="00876497"/>
    <w:rsid w:val="009040AD"/>
    <w:rsid w:val="00934D60"/>
    <w:rsid w:val="00A73286"/>
    <w:rsid w:val="00B45330"/>
    <w:rsid w:val="00B93533"/>
    <w:rsid w:val="00BC4863"/>
    <w:rsid w:val="00BD3FB4"/>
    <w:rsid w:val="00BE051D"/>
    <w:rsid w:val="00C046B3"/>
    <w:rsid w:val="00D11F6E"/>
    <w:rsid w:val="00D14CED"/>
    <w:rsid w:val="00E40607"/>
    <w:rsid w:val="00E4263C"/>
    <w:rsid w:val="00E466FD"/>
    <w:rsid w:val="00F63099"/>
    <w:rsid w:val="00F7053E"/>
    <w:rsid w:val="00F90810"/>
    <w:rsid w:val="00FD5EA5"/>
    <w:rsid w:val="00FF42DD"/>
    <w:rsid w:val="011DF4EB"/>
    <w:rsid w:val="01B165CE"/>
    <w:rsid w:val="0217304F"/>
    <w:rsid w:val="02515359"/>
    <w:rsid w:val="02893A17"/>
    <w:rsid w:val="030806B1"/>
    <w:rsid w:val="03215991"/>
    <w:rsid w:val="03490091"/>
    <w:rsid w:val="03D70EC9"/>
    <w:rsid w:val="04B425C4"/>
    <w:rsid w:val="04B85AFF"/>
    <w:rsid w:val="05AB50DB"/>
    <w:rsid w:val="06075F29"/>
    <w:rsid w:val="072729B8"/>
    <w:rsid w:val="07D6476B"/>
    <w:rsid w:val="087232C3"/>
    <w:rsid w:val="08D6542E"/>
    <w:rsid w:val="08ED34FD"/>
    <w:rsid w:val="093446A7"/>
    <w:rsid w:val="0AF22185"/>
    <w:rsid w:val="0B1835C3"/>
    <w:rsid w:val="0B63273E"/>
    <w:rsid w:val="0B76654F"/>
    <w:rsid w:val="0BD91CE7"/>
    <w:rsid w:val="0C6B60D7"/>
    <w:rsid w:val="0D7FCEE7"/>
    <w:rsid w:val="0DE526A7"/>
    <w:rsid w:val="0E087385"/>
    <w:rsid w:val="0E5C7E9D"/>
    <w:rsid w:val="0EEC791B"/>
    <w:rsid w:val="0F272A69"/>
    <w:rsid w:val="0FA436B7"/>
    <w:rsid w:val="0FBBC6D8"/>
    <w:rsid w:val="10C02711"/>
    <w:rsid w:val="1295728D"/>
    <w:rsid w:val="12ED74AA"/>
    <w:rsid w:val="130B6D76"/>
    <w:rsid w:val="13236AF1"/>
    <w:rsid w:val="13D6674E"/>
    <w:rsid w:val="150C1E94"/>
    <w:rsid w:val="15D94F21"/>
    <w:rsid w:val="15E47716"/>
    <w:rsid w:val="1680064E"/>
    <w:rsid w:val="17436509"/>
    <w:rsid w:val="181569E7"/>
    <w:rsid w:val="1AA11230"/>
    <w:rsid w:val="1B2D6269"/>
    <w:rsid w:val="1BF9394B"/>
    <w:rsid w:val="1BF9AB71"/>
    <w:rsid w:val="1C361957"/>
    <w:rsid w:val="1D086B7C"/>
    <w:rsid w:val="1DA24124"/>
    <w:rsid w:val="1DFA68EF"/>
    <w:rsid w:val="1DFE30C6"/>
    <w:rsid w:val="1F7F05B3"/>
    <w:rsid w:val="1FC81833"/>
    <w:rsid w:val="20C2797E"/>
    <w:rsid w:val="215B059A"/>
    <w:rsid w:val="22062400"/>
    <w:rsid w:val="24606B41"/>
    <w:rsid w:val="246736EB"/>
    <w:rsid w:val="24840815"/>
    <w:rsid w:val="25C17900"/>
    <w:rsid w:val="261144B9"/>
    <w:rsid w:val="27B435B3"/>
    <w:rsid w:val="27ED6C10"/>
    <w:rsid w:val="281C288D"/>
    <w:rsid w:val="289A6D28"/>
    <w:rsid w:val="2B153579"/>
    <w:rsid w:val="2B795B9C"/>
    <w:rsid w:val="2C0C7CCC"/>
    <w:rsid w:val="2CAC25FF"/>
    <w:rsid w:val="2DA61BF1"/>
    <w:rsid w:val="2ECF569F"/>
    <w:rsid w:val="2F0902B7"/>
    <w:rsid w:val="3025112D"/>
    <w:rsid w:val="319E78FD"/>
    <w:rsid w:val="326E3FCD"/>
    <w:rsid w:val="339B1A7D"/>
    <w:rsid w:val="34527864"/>
    <w:rsid w:val="356065C1"/>
    <w:rsid w:val="35741F7B"/>
    <w:rsid w:val="35927D49"/>
    <w:rsid w:val="35A45109"/>
    <w:rsid w:val="36647739"/>
    <w:rsid w:val="36722108"/>
    <w:rsid w:val="37736187"/>
    <w:rsid w:val="37EC4B4C"/>
    <w:rsid w:val="398E7091"/>
    <w:rsid w:val="3A7D25F4"/>
    <w:rsid w:val="3B6C128B"/>
    <w:rsid w:val="3B7505CA"/>
    <w:rsid w:val="3BF42FA2"/>
    <w:rsid w:val="3C1B3849"/>
    <w:rsid w:val="3DBE0E38"/>
    <w:rsid w:val="3DCF2C73"/>
    <w:rsid w:val="3E3B322A"/>
    <w:rsid w:val="3EB73502"/>
    <w:rsid w:val="3EB7365E"/>
    <w:rsid w:val="3EBE2D3F"/>
    <w:rsid w:val="3ED7D01C"/>
    <w:rsid w:val="3EE73D98"/>
    <w:rsid w:val="3EFC27AE"/>
    <w:rsid w:val="3FFE9FFB"/>
    <w:rsid w:val="3FFFF7A9"/>
    <w:rsid w:val="40D7777E"/>
    <w:rsid w:val="41D779C0"/>
    <w:rsid w:val="436E421B"/>
    <w:rsid w:val="43E353FE"/>
    <w:rsid w:val="45E92E66"/>
    <w:rsid w:val="46845245"/>
    <w:rsid w:val="46F216C3"/>
    <w:rsid w:val="48567BBA"/>
    <w:rsid w:val="48604985"/>
    <w:rsid w:val="48C332AF"/>
    <w:rsid w:val="49857111"/>
    <w:rsid w:val="498A72A0"/>
    <w:rsid w:val="49DD6CEB"/>
    <w:rsid w:val="4C4E7521"/>
    <w:rsid w:val="4C824703"/>
    <w:rsid w:val="4CC01CF8"/>
    <w:rsid w:val="4CC545E7"/>
    <w:rsid w:val="4CFD75DE"/>
    <w:rsid w:val="4D533669"/>
    <w:rsid w:val="4D611881"/>
    <w:rsid w:val="4DB67BAD"/>
    <w:rsid w:val="4DBF710D"/>
    <w:rsid w:val="4DDB0C16"/>
    <w:rsid w:val="4E585190"/>
    <w:rsid w:val="4E626EA5"/>
    <w:rsid w:val="4F7D0643"/>
    <w:rsid w:val="4FF92653"/>
    <w:rsid w:val="4FFE4A4F"/>
    <w:rsid w:val="50CB3BDA"/>
    <w:rsid w:val="511505E7"/>
    <w:rsid w:val="5275657D"/>
    <w:rsid w:val="53701092"/>
    <w:rsid w:val="53DE53F7"/>
    <w:rsid w:val="549363D0"/>
    <w:rsid w:val="54D26C3D"/>
    <w:rsid w:val="54DD7AC9"/>
    <w:rsid w:val="55413F6A"/>
    <w:rsid w:val="558A3AEC"/>
    <w:rsid w:val="55C6699C"/>
    <w:rsid w:val="55FF4F39"/>
    <w:rsid w:val="563C0C84"/>
    <w:rsid w:val="567C47AD"/>
    <w:rsid w:val="568C7EFA"/>
    <w:rsid w:val="5721053D"/>
    <w:rsid w:val="5737FFAD"/>
    <w:rsid w:val="5A320350"/>
    <w:rsid w:val="5A4E1134"/>
    <w:rsid w:val="5A8F5421"/>
    <w:rsid w:val="5AB377AC"/>
    <w:rsid w:val="5ADB7A9F"/>
    <w:rsid w:val="5B3BD02C"/>
    <w:rsid w:val="5BDF7AA8"/>
    <w:rsid w:val="5BF7146E"/>
    <w:rsid w:val="5C8E6C69"/>
    <w:rsid w:val="5CC770F3"/>
    <w:rsid w:val="5D381793"/>
    <w:rsid w:val="5D7B194B"/>
    <w:rsid w:val="5DB2544A"/>
    <w:rsid w:val="5E606197"/>
    <w:rsid w:val="5E758AD3"/>
    <w:rsid w:val="5F5B3889"/>
    <w:rsid w:val="5F7404E1"/>
    <w:rsid w:val="5F7BBE1B"/>
    <w:rsid w:val="5FDC5D9A"/>
    <w:rsid w:val="5FEF2D0D"/>
    <w:rsid w:val="60B85CFA"/>
    <w:rsid w:val="61AC7C2D"/>
    <w:rsid w:val="61F32521"/>
    <w:rsid w:val="6229E334"/>
    <w:rsid w:val="63F6661D"/>
    <w:rsid w:val="64920EED"/>
    <w:rsid w:val="64F94FB6"/>
    <w:rsid w:val="64FF0119"/>
    <w:rsid w:val="650C61D5"/>
    <w:rsid w:val="65183212"/>
    <w:rsid w:val="65AC0421"/>
    <w:rsid w:val="66AA099A"/>
    <w:rsid w:val="66E53709"/>
    <w:rsid w:val="67090219"/>
    <w:rsid w:val="6754015D"/>
    <w:rsid w:val="67885F66"/>
    <w:rsid w:val="67D469E8"/>
    <w:rsid w:val="685D233B"/>
    <w:rsid w:val="68B02553"/>
    <w:rsid w:val="68F02D72"/>
    <w:rsid w:val="6911159A"/>
    <w:rsid w:val="69961B9A"/>
    <w:rsid w:val="69C0748D"/>
    <w:rsid w:val="6A0C0F86"/>
    <w:rsid w:val="6A7D30C3"/>
    <w:rsid w:val="6AB94695"/>
    <w:rsid w:val="6B9261CD"/>
    <w:rsid w:val="6B9A71CB"/>
    <w:rsid w:val="6BCB1BF4"/>
    <w:rsid w:val="6BCC0CB3"/>
    <w:rsid w:val="6C45316D"/>
    <w:rsid w:val="6CBF87B4"/>
    <w:rsid w:val="6DED96DF"/>
    <w:rsid w:val="6DEFBAE0"/>
    <w:rsid w:val="6E372E5F"/>
    <w:rsid w:val="6E786ABC"/>
    <w:rsid w:val="6FDF5799"/>
    <w:rsid w:val="6FF54640"/>
    <w:rsid w:val="710A7485"/>
    <w:rsid w:val="71394751"/>
    <w:rsid w:val="71612B4D"/>
    <w:rsid w:val="72131803"/>
    <w:rsid w:val="723024E6"/>
    <w:rsid w:val="72D967F6"/>
    <w:rsid w:val="73026B48"/>
    <w:rsid w:val="74566BED"/>
    <w:rsid w:val="74CE550B"/>
    <w:rsid w:val="75DE2E1F"/>
    <w:rsid w:val="75FC6A6F"/>
    <w:rsid w:val="767FE0B3"/>
    <w:rsid w:val="76CA40F3"/>
    <w:rsid w:val="77527FDF"/>
    <w:rsid w:val="77FFCFC3"/>
    <w:rsid w:val="78410251"/>
    <w:rsid w:val="785A2CB0"/>
    <w:rsid w:val="786F0C92"/>
    <w:rsid w:val="793FB7A1"/>
    <w:rsid w:val="7A9C06E1"/>
    <w:rsid w:val="7AB91678"/>
    <w:rsid w:val="7B8F578C"/>
    <w:rsid w:val="7B9A66EF"/>
    <w:rsid w:val="7BE411F0"/>
    <w:rsid w:val="7BEF0283"/>
    <w:rsid w:val="7BFFD823"/>
    <w:rsid w:val="7C7918BC"/>
    <w:rsid w:val="7D8E8A18"/>
    <w:rsid w:val="7E51A4E4"/>
    <w:rsid w:val="7EBDA18C"/>
    <w:rsid w:val="7EE72273"/>
    <w:rsid w:val="7EF7CDD2"/>
    <w:rsid w:val="7EFFC6B1"/>
    <w:rsid w:val="7F3E3F45"/>
    <w:rsid w:val="7F7BEB9D"/>
    <w:rsid w:val="7FB5C036"/>
    <w:rsid w:val="7FBF2495"/>
    <w:rsid w:val="7FCE6666"/>
    <w:rsid w:val="7FDCAB43"/>
    <w:rsid w:val="7FDF897D"/>
    <w:rsid w:val="7FE91E78"/>
    <w:rsid w:val="7FFDE69B"/>
    <w:rsid w:val="9CBD0B1A"/>
    <w:rsid w:val="9EF6604C"/>
    <w:rsid w:val="A7F9C1DE"/>
    <w:rsid w:val="B593FB7D"/>
    <w:rsid w:val="B8BE5849"/>
    <w:rsid w:val="BCB7048F"/>
    <w:rsid w:val="BF45B9F9"/>
    <w:rsid w:val="BF8E36EE"/>
    <w:rsid w:val="BFDFB85E"/>
    <w:rsid w:val="BFEF5A20"/>
    <w:rsid w:val="BFF5AD43"/>
    <w:rsid w:val="BFF739EC"/>
    <w:rsid w:val="D7FFD2F4"/>
    <w:rsid w:val="D96C2367"/>
    <w:rsid w:val="D9FFDD10"/>
    <w:rsid w:val="DDEFBA43"/>
    <w:rsid w:val="DEAFB90F"/>
    <w:rsid w:val="DF21B821"/>
    <w:rsid w:val="DF9BF5C7"/>
    <w:rsid w:val="DFD76A11"/>
    <w:rsid w:val="E3CF85CB"/>
    <w:rsid w:val="E9F71F09"/>
    <w:rsid w:val="EAFD8D58"/>
    <w:rsid w:val="EB6C770B"/>
    <w:rsid w:val="EBCD181E"/>
    <w:rsid w:val="EBF8DBF2"/>
    <w:rsid w:val="EEBFA8B1"/>
    <w:rsid w:val="EF7C48A7"/>
    <w:rsid w:val="EF9FD700"/>
    <w:rsid w:val="EFFFDD70"/>
    <w:rsid w:val="F1B778F1"/>
    <w:rsid w:val="F3FF743F"/>
    <w:rsid w:val="F4FF55F7"/>
    <w:rsid w:val="F5FF6D2D"/>
    <w:rsid w:val="F7FD911C"/>
    <w:rsid w:val="F9778E68"/>
    <w:rsid w:val="F9DF2CA6"/>
    <w:rsid w:val="F9EB589E"/>
    <w:rsid w:val="FAF276D6"/>
    <w:rsid w:val="FB3326CC"/>
    <w:rsid w:val="FBCE4D19"/>
    <w:rsid w:val="FDBF10AA"/>
    <w:rsid w:val="FDDE8728"/>
    <w:rsid w:val="FDFD4EA0"/>
    <w:rsid w:val="FEFBBBDF"/>
    <w:rsid w:val="FF6B92DC"/>
    <w:rsid w:val="FFBC3961"/>
    <w:rsid w:val="FFCF2299"/>
    <w:rsid w:val="FFDBAEE3"/>
    <w:rsid w:val="FFDD1EA1"/>
    <w:rsid w:val="FFE7A9C6"/>
    <w:rsid w:val="FFFF74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spacing w:after="156" w:afterLines="50" w:line="640" w:lineRule="exact"/>
      <w:outlineLvl w:val="0"/>
    </w:pPr>
    <w:rPr>
      <w:rFonts w:ascii="方正小标宋简体" w:eastAsia="方正小标宋简体"/>
      <w:sz w:val="44"/>
      <w:szCs w:val="36"/>
    </w:rPr>
  </w:style>
  <w:style w:type="character" w:default="1" w:styleId="13">
    <w:name w:val="Default Paragraph Font"/>
    <w:semiHidden/>
    <w:unhideWhenUsed/>
    <w:qFormat/>
    <w:uiPriority w:val="1"/>
  </w:style>
  <w:style w:type="table" w:default="1" w:styleId="11">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3">
    <w:name w:val="Normal Indent"/>
    <w:basedOn w:val="1"/>
    <w:next w:val="1"/>
    <w:qFormat/>
    <w:uiPriority w:val="99"/>
  </w:style>
  <w:style w:type="paragraph" w:styleId="4">
    <w:name w:val="annotation text"/>
    <w:basedOn w:val="1"/>
    <w:qFormat/>
    <w:uiPriority w:val="0"/>
    <w:pPr>
      <w:jc w:val="left"/>
    </w:pPr>
  </w:style>
  <w:style w:type="paragraph" w:styleId="5">
    <w:name w:val="Body Text"/>
    <w:basedOn w:val="1"/>
    <w:link w:val="19"/>
    <w:unhideWhenUsed/>
    <w:qFormat/>
    <w:uiPriority w:val="99"/>
    <w:pPr>
      <w:spacing w:after="120"/>
    </w:pPr>
  </w:style>
  <w:style w:type="paragraph" w:styleId="6">
    <w:name w:val="footer"/>
    <w:basedOn w:val="1"/>
    <w:link w:val="18"/>
    <w:qFormat/>
    <w:uiPriority w:val="0"/>
    <w:pPr>
      <w:tabs>
        <w:tab w:val="center" w:pos="4153"/>
        <w:tab w:val="right" w:pos="8306"/>
      </w:tabs>
      <w:snapToGrid w:val="0"/>
      <w:jc w:val="left"/>
    </w:pPr>
    <w:rPr>
      <w:sz w:val="18"/>
      <w:szCs w:val="18"/>
    </w:rPr>
  </w:style>
  <w:style w:type="paragraph" w:styleId="7">
    <w:name w:val="header"/>
    <w:basedOn w:val="1"/>
    <w:link w:val="17"/>
    <w:qFormat/>
    <w:uiPriority w:val="0"/>
    <w:pPr>
      <w:pBdr>
        <w:bottom w:val="single" w:color="auto" w:sz="6" w:space="1"/>
      </w:pBdr>
      <w:tabs>
        <w:tab w:val="center" w:pos="4153"/>
        <w:tab w:val="right" w:pos="8306"/>
      </w:tabs>
      <w:snapToGrid w:val="0"/>
      <w:jc w:val="center"/>
    </w:pPr>
    <w:rPr>
      <w:sz w:val="18"/>
      <w:szCs w:val="18"/>
    </w:rPr>
  </w:style>
  <w:style w:type="paragraph" w:styleId="8">
    <w:name w:val="toc 2"/>
    <w:basedOn w:val="1"/>
    <w:next w:val="1"/>
    <w:qFormat/>
    <w:uiPriority w:val="0"/>
    <w:pPr>
      <w:ind w:left="420" w:leftChars="200"/>
    </w:pPr>
    <w:rPr>
      <w:rFonts w:ascii="Times New Roman" w:hAnsi="Times New Roman" w:eastAsia="宋体"/>
      <w:sz w:val="30"/>
    </w:rPr>
  </w:style>
  <w:style w:type="paragraph" w:styleId="9">
    <w:name w:val="Normal (Web)"/>
    <w:basedOn w:val="1"/>
    <w:qFormat/>
    <w:uiPriority w:val="0"/>
    <w:rPr>
      <w:sz w:val="24"/>
    </w:rPr>
  </w:style>
  <w:style w:type="paragraph" w:styleId="10">
    <w:name w:val="Body Text First Indent"/>
    <w:basedOn w:val="5"/>
    <w:qFormat/>
    <w:uiPriority w:val="0"/>
    <w:pPr>
      <w:ind w:firstLine="420" w:firstLineChars="100"/>
    </w:pPr>
  </w:style>
  <w:style w:type="table" w:styleId="12">
    <w:name w:val="Table Grid"/>
    <w:basedOn w:val="11"/>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4">
    <w:name w:val="page number"/>
    <w:qFormat/>
    <w:uiPriority w:val="0"/>
    <w:rPr>
      <w:rFonts w:ascii="Times New Roman" w:hAnsi="Times New Roman" w:eastAsia="宋体" w:cs="Simplified Arabic"/>
      <w:sz w:val="24"/>
      <w:szCs w:val="24"/>
      <w:lang w:val="en-GB" w:bidi="ar-AE"/>
    </w:rPr>
  </w:style>
  <w:style w:type="paragraph" w:customStyle="1" w:styleId="15">
    <w:name w:val="名称2"/>
    <w:basedOn w:val="16"/>
    <w:qFormat/>
    <w:uiPriority w:val="0"/>
    <w:pPr>
      <w:spacing w:after="312" w:afterLines="100"/>
    </w:pPr>
    <w:rPr>
      <w:b w:val="0"/>
      <w:sz w:val="20"/>
    </w:rPr>
  </w:style>
  <w:style w:type="paragraph" w:customStyle="1" w:styleId="16">
    <w:name w:val="名称"/>
    <w:basedOn w:val="1"/>
    <w:qFormat/>
    <w:uiPriority w:val="0"/>
    <w:pPr>
      <w:jc w:val="center"/>
    </w:pPr>
    <w:rPr>
      <w:b/>
      <w:kern w:val="0"/>
      <w:sz w:val="44"/>
      <w:szCs w:val="20"/>
    </w:rPr>
  </w:style>
  <w:style w:type="character" w:customStyle="1" w:styleId="17">
    <w:name w:val="页眉 字符"/>
    <w:basedOn w:val="13"/>
    <w:link w:val="7"/>
    <w:qFormat/>
    <w:uiPriority w:val="0"/>
    <w:rPr>
      <w:rFonts w:ascii="Times New Roman" w:hAnsi="Times New Roman" w:eastAsia="宋体" w:cs="Times New Roman"/>
      <w:kern w:val="2"/>
      <w:sz w:val="18"/>
      <w:szCs w:val="18"/>
    </w:rPr>
  </w:style>
  <w:style w:type="character" w:customStyle="1" w:styleId="18">
    <w:name w:val="页脚 字符"/>
    <w:basedOn w:val="13"/>
    <w:link w:val="6"/>
    <w:qFormat/>
    <w:uiPriority w:val="0"/>
    <w:rPr>
      <w:rFonts w:ascii="Times New Roman" w:hAnsi="Times New Roman" w:eastAsia="宋体" w:cs="Times New Roman"/>
      <w:kern w:val="2"/>
      <w:sz w:val="18"/>
      <w:szCs w:val="18"/>
    </w:rPr>
  </w:style>
  <w:style w:type="character" w:customStyle="1" w:styleId="19">
    <w:name w:val="正文文本 字符"/>
    <w:basedOn w:val="13"/>
    <w:link w:val="5"/>
    <w:qFormat/>
    <w:uiPriority w:val="99"/>
    <w:rPr>
      <w:rFonts w:ascii="Times New Roman" w:hAnsi="Times New Roman" w:eastAsia="宋体" w:cs="Times New Roman"/>
      <w:kern w:val="2"/>
      <w:sz w:val="21"/>
      <w:szCs w:val="24"/>
    </w:rPr>
  </w:style>
  <w:style w:type="paragraph" w:styleId="20">
    <w:name w:val="List Paragraph"/>
    <w:basedOn w:val="1"/>
    <w:qFormat/>
    <w:uiPriority w:val="99"/>
    <w:pPr>
      <w:ind w:firstLine="420" w:firstLineChars="200"/>
    </w:pPr>
  </w:style>
  <w:style w:type="paragraph" w:customStyle="1" w:styleId="21">
    <w:name w:val="Footer Right"/>
    <w:basedOn w:val="6"/>
    <w:qFormat/>
    <w:uiPriority w:val="0"/>
    <w:pPr>
      <w:jc w:val="right"/>
    </w:pPr>
  </w:style>
  <w:style w:type="paragraph" w:customStyle="1" w:styleId="22">
    <w:name w:val="KWMCN-标准"/>
    <w:qFormat/>
    <w:uiPriority w:val="0"/>
    <w:pPr>
      <w:adjustRightInd w:val="0"/>
      <w:snapToGrid w:val="0"/>
      <w:spacing w:after="360" w:line="320" w:lineRule="atLeast"/>
      <w:jc w:val="both"/>
    </w:pPr>
    <w:rPr>
      <w:rFonts w:ascii="Arial" w:hAnsi="Arial" w:eastAsia="楷体_GB2312" w:cstheme="minorBidi"/>
      <w:kern w:val="2"/>
      <w:sz w:val="24"/>
      <w:szCs w:val="21"/>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其他省直机关单位</Company>
  <Pages>2</Pages>
  <Words>2375</Words>
  <Characters>2549</Characters>
  <Lines>1</Lines>
  <Paragraphs>1</Paragraphs>
  <TotalTime>15</TotalTime>
  <ScaleCrop>false</ScaleCrop>
  <LinksUpToDate>false</LinksUpToDate>
  <CharactersWithSpaces>2674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2023-03-09T17:34:00Z</dcterms:created>
  <dc:creator>张斌（反垄断处）</dc:creator>
  <cp:lastModifiedBy>夏学强   </cp:lastModifiedBy>
  <cp:lastPrinted>2024-04-16T09:34:00Z</cp:lastPrinted>
  <dcterms:modified xsi:type="dcterms:W3CDTF">2026-07-06T07:19:43Z</dcterms:modified>
  <dc:title>关于经营者集中反垄断审查案件</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5FA2BFC2FB29400DA3403F69B7CB04F3_13</vt:lpwstr>
  </property>
  <property fmtid="{D5CDD505-2E9C-101B-9397-08002B2CF9AE}" pid="4" name="KSOTemplateDocerSaveRecord">
    <vt:lpwstr>eyJoZGlkIjoiYjcyMzQ5NmUwNWNjMzE5MmEwMDE2ZDQ3ZGE5YTYwZWYiLCJ1c2VySWQiOiI1MDg5MjU3NTAifQ==</vt:lpwstr>
  </property>
</Properties>
</file>