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F9AF6" w14:textId="77777777" w:rsidR="00B37C9C" w:rsidRDefault="00000000">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67C8B797" w14:textId="77777777" w:rsidR="00B37C9C" w:rsidRDefault="00B37C9C">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125"/>
        <w:gridCol w:w="5908"/>
      </w:tblGrid>
      <w:tr w:rsidR="00B37C9C" w14:paraId="0D351892" w14:textId="77777777">
        <w:tc>
          <w:tcPr>
            <w:tcW w:w="1725" w:type="dxa"/>
            <w:shd w:val="clear" w:color="auto" w:fill="D9D9D9"/>
            <w:vAlign w:val="center"/>
          </w:tcPr>
          <w:p w14:paraId="1A380F19"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7033" w:type="dxa"/>
            <w:gridSpan w:val="2"/>
          </w:tcPr>
          <w:p w14:paraId="73A7F37E"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南方电网调峰调频发电有限公司与广东水电二局股份有限公司等经营者新设合营企业案（“本次交易”）</w:t>
            </w:r>
          </w:p>
        </w:tc>
      </w:tr>
      <w:tr w:rsidR="00B37C9C" w14:paraId="2CDF1AFE" w14:textId="77777777">
        <w:trPr>
          <w:trHeight w:val="993"/>
        </w:trPr>
        <w:tc>
          <w:tcPr>
            <w:tcW w:w="1725" w:type="dxa"/>
            <w:shd w:val="clear" w:color="auto" w:fill="D9D9D9"/>
            <w:vAlign w:val="center"/>
          </w:tcPr>
          <w:p w14:paraId="48FC4CD0"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121BB51C"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7033" w:type="dxa"/>
            <w:gridSpan w:val="2"/>
          </w:tcPr>
          <w:p w14:paraId="4BFFBC14" w14:textId="10A7E939"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lang w:eastAsia="zh-Hans"/>
              </w:rPr>
              <w:t>南方电网调峰调频发电有限公司（“南网调峰调频”）和广东水电二局股份有限公司（“</w:t>
            </w:r>
            <w:r>
              <w:rPr>
                <w:rFonts w:ascii="仿宋" w:eastAsia="仿宋" w:hAnsi="仿宋" w:cs="宋体" w:hint="eastAsia"/>
                <w:color w:val="333333"/>
                <w:kern w:val="0"/>
                <w:sz w:val="24"/>
                <w:szCs w:val="24"/>
              </w:rPr>
              <w:t>粤水电</w:t>
            </w:r>
            <w:r>
              <w:rPr>
                <w:rFonts w:ascii="仿宋" w:eastAsia="仿宋" w:hAnsi="仿宋" w:cs="宋体" w:hint="eastAsia"/>
                <w:color w:val="333333"/>
                <w:kern w:val="0"/>
                <w:sz w:val="24"/>
                <w:szCs w:val="24"/>
                <w:lang w:eastAsia="zh-Hans"/>
              </w:rPr>
              <w:t>”）</w:t>
            </w:r>
            <w:r>
              <w:rPr>
                <w:rFonts w:ascii="仿宋" w:eastAsia="仿宋" w:hAnsi="仿宋" w:cs="宋体" w:hint="eastAsia"/>
                <w:color w:val="333333"/>
                <w:kern w:val="0"/>
                <w:sz w:val="24"/>
                <w:szCs w:val="24"/>
              </w:rPr>
              <w:t>及</w:t>
            </w:r>
            <w:r>
              <w:rPr>
                <w:rFonts w:ascii="仿宋" w:eastAsia="仿宋" w:hAnsi="仿宋" w:cs="宋体" w:hint="eastAsia"/>
                <w:color w:val="333333"/>
                <w:kern w:val="0"/>
                <w:sz w:val="24"/>
                <w:szCs w:val="24"/>
                <w:lang w:eastAsia="zh-Hans"/>
              </w:rPr>
              <w:t>中国能源建设集团广东省电力设计研究院有限公司（“广东院”）拟共同新设合营企业（“合营企业”），从事</w:t>
            </w:r>
            <w:r w:rsidR="009B256C">
              <w:rPr>
                <w:rFonts w:ascii="仿宋" w:eastAsia="仿宋" w:hAnsi="仿宋" w:cs="宋体" w:hint="eastAsia"/>
                <w:color w:val="333333"/>
                <w:kern w:val="0"/>
                <w:sz w:val="24"/>
                <w:szCs w:val="24"/>
                <w:lang w:eastAsia="zh-Hans"/>
              </w:rPr>
              <w:t>水</w:t>
            </w:r>
            <w:r>
              <w:rPr>
                <w:rFonts w:ascii="仿宋" w:eastAsia="仿宋" w:hAnsi="仿宋" w:cs="宋体" w:hint="eastAsia"/>
                <w:color w:val="333333"/>
                <w:kern w:val="0"/>
                <w:sz w:val="24"/>
                <w:szCs w:val="24"/>
                <w:lang w:eastAsia="zh-Hans"/>
              </w:rPr>
              <w:t>电站的水工观测、生产巡检、人员培训、标识标牌、安全督查等运维服务</w:t>
            </w:r>
            <w:r>
              <w:rPr>
                <w:rFonts w:ascii="仿宋" w:eastAsia="仿宋" w:hAnsi="仿宋" w:cs="宋体" w:hint="eastAsia"/>
                <w:color w:val="333333"/>
                <w:kern w:val="0"/>
                <w:sz w:val="24"/>
                <w:szCs w:val="24"/>
              </w:rPr>
              <w:t>业务。</w:t>
            </w:r>
            <w:r>
              <w:rPr>
                <w:rFonts w:ascii="仿宋" w:eastAsia="仿宋" w:hAnsi="仿宋" w:cs="宋体" w:hint="eastAsia"/>
                <w:color w:val="333333"/>
                <w:kern w:val="0"/>
                <w:sz w:val="24"/>
                <w:szCs w:val="24"/>
                <w:lang w:eastAsia="zh-Hans"/>
              </w:rPr>
              <w:t>其中，南网</w:t>
            </w:r>
            <w:r>
              <w:rPr>
                <w:rFonts w:ascii="仿宋" w:eastAsia="仿宋" w:hAnsi="仿宋" w:cs="宋体" w:hint="eastAsia"/>
                <w:color w:val="333333"/>
                <w:kern w:val="0"/>
                <w:sz w:val="24"/>
                <w:szCs w:val="24"/>
              </w:rPr>
              <w:t>调峰调</w:t>
            </w:r>
            <w:r>
              <w:rPr>
                <w:rFonts w:ascii="仿宋" w:eastAsia="仿宋" w:hAnsi="仿宋" w:cs="宋体" w:hint="eastAsia"/>
                <w:color w:val="333333"/>
                <w:kern w:val="0"/>
                <w:sz w:val="24"/>
                <w:szCs w:val="24"/>
                <w:lang w:eastAsia="zh-Hans"/>
              </w:rPr>
              <w:t>频将持有合营企业</w:t>
            </w:r>
            <w:r>
              <w:rPr>
                <w:rFonts w:ascii="仿宋" w:eastAsia="仿宋" w:hAnsi="仿宋" w:cs="宋体" w:hint="eastAsia"/>
                <w:color w:val="333333"/>
                <w:kern w:val="0"/>
                <w:sz w:val="24"/>
                <w:szCs w:val="24"/>
              </w:rPr>
              <w:t>40</w:t>
            </w:r>
            <w:r>
              <w:rPr>
                <w:rFonts w:ascii="仿宋" w:eastAsia="仿宋" w:hAnsi="仿宋" w:cs="宋体" w:hint="eastAsia"/>
                <w:color w:val="333333"/>
                <w:kern w:val="0"/>
                <w:sz w:val="24"/>
                <w:szCs w:val="24"/>
                <w:lang w:eastAsia="zh-Hans"/>
              </w:rPr>
              <w:t>%股权，</w:t>
            </w:r>
            <w:r>
              <w:rPr>
                <w:rFonts w:ascii="仿宋" w:eastAsia="仿宋" w:hAnsi="仿宋" w:cs="宋体" w:hint="eastAsia"/>
                <w:color w:val="333333"/>
                <w:kern w:val="0"/>
                <w:sz w:val="24"/>
                <w:szCs w:val="24"/>
              </w:rPr>
              <w:t>粤水电及广东院分别持有</w:t>
            </w:r>
            <w:r>
              <w:rPr>
                <w:rFonts w:ascii="仿宋" w:eastAsia="仿宋" w:hAnsi="仿宋" w:cs="宋体" w:hint="eastAsia"/>
                <w:color w:val="333333"/>
                <w:kern w:val="0"/>
                <w:sz w:val="24"/>
                <w:szCs w:val="24"/>
                <w:lang w:eastAsia="zh-Hans"/>
              </w:rPr>
              <w:t>合营企业30%股权。本次交易完成后，南网</w:t>
            </w:r>
            <w:r>
              <w:rPr>
                <w:rFonts w:ascii="仿宋" w:eastAsia="仿宋" w:hAnsi="仿宋" w:cs="宋体" w:hint="eastAsia"/>
                <w:color w:val="333333"/>
                <w:kern w:val="0"/>
                <w:sz w:val="24"/>
                <w:szCs w:val="24"/>
              </w:rPr>
              <w:t>调峰调</w:t>
            </w:r>
            <w:r>
              <w:rPr>
                <w:rFonts w:ascii="仿宋" w:eastAsia="仿宋" w:hAnsi="仿宋" w:cs="宋体" w:hint="eastAsia"/>
                <w:color w:val="333333"/>
                <w:kern w:val="0"/>
                <w:sz w:val="24"/>
                <w:szCs w:val="24"/>
                <w:lang w:eastAsia="zh-Hans"/>
              </w:rPr>
              <w:t>频</w:t>
            </w:r>
            <w:r>
              <w:rPr>
                <w:rFonts w:ascii="仿宋" w:eastAsia="仿宋" w:hAnsi="仿宋" w:cs="宋体" w:hint="eastAsia"/>
                <w:color w:val="333333"/>
                <w:kern w:val="0"/>
                <w:sz w:val="24"/>
                <w:szCs w:val="24"/>
              </w:rPr>
              <w:t>、粤水电及广东院</w:t>
            </w:r>
            <w:r>
              <w:rPr>
                <w:rFonts w:ascii="仿宋" w:eastAsia="仿宋" w:hAnsi="仿宋" w:cs="宋体" w:hint="eastAsia"/>
                <w:color w:val="333333"/>
                <w:kern w:val="0"/>
                <w:sz w:val="24"/>
                <w:szCs w:val="24"/>
                <w:lang w:eastAsia="zh-Hans"/>
              </w:rPr>
              <w:t>将共同控制合营企业。</w:t>
            </w:r>
          </w:p>
        </w:tc>
      </w:tr>
      <w:tr w:rsidR="009B256C" w14:paraId="3ED94308" w14:textId="77777777">
        <w:trPr>
          <w:trHeight w:val="1103"/>
        </w:trPr>
        <w:tc>
          <w:tcPr>
            <w:tcW w:w="1725" w:type="dxa"/>
            <w:vMerge w:val="restart"/>
            <w:shd w:val="clear" w:color="auto" w:fill="D9D9D9"/>
            <w:vAlign w:val="center"/>
          </w:tcPr>
          <w:p w14:paraId="061B3FF1" w14:textId="77777777" w:rsidR="009B256C" w:rsidRDefault="009B256C">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5E70C6D5" w14:textId="77777777" w:rsidR="009B256C" w:rsidRDefault="009B256C">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125" w:type="dxa"/>
          </w:tcPr>
          <w:p w14:paraId="2788C1C1" w14:textId="77777777"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1、南网调峰调</w:t>
            </w:r>
            <w:r>
              <w:rPr>
                <w:rFonts w:ascii="仿宋" w:eastAsia="仿宋" w:hAnsi="仿宋" w:cs="宋体" w:hint="eastAsia"/>
                <w:color w:val="333333"/>
                <w:kern w:val="0"/>
                <w:sz w:val="24"/>
                <w:szCs w:val="24"/>
                <w:lang w:eastAsia="zh-Hans"/>
              </w:rPr>
              <w:t>频</w:t>
            </w:r>
          </w:p>
        </w:tc>
        <w:tc>
          <w:tcPr>
            <w:tcW w:w="5908" w:type="dxa"/>
          </w:tcPr>
          <w:p w14:paraId="5B529BD0" w14:textId="77777777" w:rsidR="00E070CD" w:rsidRPr="00E070CD" w:rsidRDefault="00E070CD" w:rsidP="00E070CD">
            <w:pPr>
              <w:spacing w:line="500" w:lineRule="exact"/>
              <w:rPr>
                <w:rFonts w:ascii="仿宋" w:eastAsia="仿宋" w:hAnsi="仿宋" w:cs="宋体" w:hint="eastAsia"/>
                <w:color w:val="333333"/>
                <w:kern w:val="0"/>
                <w:sz w:val="24"/>
                <w:szCs w:val="24"/>
                <w:lang w:eastAsia="zh-Hans"/>
              </w:rPr>
            </w:pPr>
            <w:r w:rsidRPr="00E070CD">
              <w:rPr>
                <w:rFonts w:ascii="仿宋" w:eastAsia="仿宋" w:hAnsi="仿宋" w:cs="宋体" w:hint="eastAsia"/>
                <w:color w:val="333333"/>
                <w:kern w:val="0"/>
                <w:sz w:val="24"/>
                <w:szCs w:val="24"/>
                <w:lang w:eastAsia="zh-Hans"/>
              </w:rPr>
              <w:t xml:space="preserve">南网调峰调频注册地位于中国广东省，前身为成立于2006年11月的中国南方电网有限责任公司调峰调频发电公司，2018年1月1日整体改制为中国南方电网有限责任公司（“南方电网”）的全资子公司。2022年9月，南方电网完成将所持有的调峰调频公司100%股权置入南方电网储能股份有限公司。主要业务是投资、规划、建设、经营和管理调峰调频电厂。 </w:t>
            </w:r>
          </w:p>
          <w:p w14:paraId="2C9DDAA2" w14:textId="0B3065A4" w:rsidR="009B256C" w:rsidRDefault="00E070CD" w:rsidP="00E070CD">
            <w:pPr>
              <w:spacing w:line="500" w:lineRule="exact"/>
              <w:rPr>
                <w:rFonts w:ascii="仿宋" w:eastAsia="仿宋" w:hAnsi="仿宋" w:cs="宋体"/>
                <w:color w:val="333333"/>
                <w:kern w:val="0"/>
                <w:sz w:val="24"/>
                <w:szCs w:val="24"/>
                <w:lang w:eastAsia="zh-Hans"/>
              </w:rPr>
            </w:pPr>
            <w:r w:rsidRPr="00E070CD">
              <w:rPr>
                <w:rFonts w:ascii="仿宋" w:eastAsia="仿宋" w:hAnsi="仿宋" w:cs="宋体" w:hint="eastAsia"/>
                <w:color w:val="333333"/>
                <w:kern w:val="0"/>
                <w:sz w:val="24"/>
                <w:szCs w:val="24"/>
                <w:lang w:eastAsia="zh-Hans"/>
              </w:rPr>
              <w:t>南网调峰调频的最终控制人南方电网为国务院国有资产监督管理委员会监管的中央企业，主要从事广东、广西、云南、贵州和海南五省的电力供应、区域电网管理、电力交易与调度等电力相关业务</w:t>
            </w:r>
            <w:r w:rsidR="009B256C">
              <w:rPr>
                <w:rFonts w:ascii="仿宋" w:eastAsia="仿宋" w:hAnsi="仿宋" w:cs="宋体" w:hint="eastAsia"/>
                <w:color w:val="333333"/>
                <w:kern w:val="0"/>
                <w:sz w:val="24"/>
                <w:szCs w:val="24"/>
                <w:lang w:eastAsia="zh-Hans"/>
              </w:rPr>
              <w:t xml:space="preserve">。 </w:t>
            </w:r>
          </w:p>
        </w:tc>
      </w:tr>
      <w:tr w:rsidR="009B256C" w14:paraId="3D563415" w14:textId="77777777">
        <w:trPr>
          <w:trHeight w:val="559"/>
        </w:trPr>
        <w:tc>
          <w:tcPr>
            <w:tcW w:w="1725" w:type="dxa"/>
            <w:vMerge/>
            <w:shd w:val="clear" w:color="auto" w:fill="D9D9D9"/>
            <w:vAlign w:val="center"/>
          </w:tcPr>
          <w:p w14:paraId="2FED5D01" w14:textId="77777777" w:rsidR="009B256C" w:rsidRDefault="009B256C">
            <w:pPr>
              <w:spacing w:line="500" w:lineRule="exact"/>
              <w:jc w:val="center"/>
              <w:rPr>
                <w:rFonts w:ascii="仿宋" w:eastAsia="仿宋" w:hAnsi="仿宋" w:cs="宋体"/>
                <w:color w:val="333333"/>
                <w:kern w:val="0"/>
                <w:sz w:val="24"/>
                <w:szCs w:val="24"/>
              </w:rPr>
            </w:pPr>
          </w:p>
        </w:tc>
        <w:tc>
          <w:tcPr>
            <w:tcW w:w="1125" w:type="dxa"/>
          </w:tcPr>
          <w:p w14:paraId="4015B3B3" w14:textId="77777777"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2、粤水电</w:t>
            </w:r>
          </w:p>
        </w:tc>
        <w:tc>
          <w:tcPr>
            <w:tcW w:w="5908" w:type="dxa"/>
          </w:tcPr>
          <w:p w14:paraId="1B9BA6AE" w14:textId="77777777" w:rsidR="009B256C" w:rsidRDefault="009B256C">
            <w:pPr>
              <w:spacing w:line="500" w:lineRule="exact"/>
              <w:rPr>
                <w:rFonts w:ascii="仿宋" w:eastAsia="仿宋" w:hAnsi="仿宋" w:cs="宋体"/>
                <w:color w:val="333333"/>
                <w:kern w:val="0"/>
                <w:sz w:val="24"/>
                <w:szCs w:val="24"/>
                <w:lang w:eastAsia="zh-Hans"/>
              </w:rPr>
            </w:pPr>
            <w:r>
              <w:rPr>
                <w:rFonts w:ascii="仿宋" w:eastAsia="仿宋" w:hAnsi="仿宋" w:cs="宋体" w:hint="eastAsia"/>
                <w:color w:val="333333"/>
                <w:kern w:val="0"/>
                <w:sz w:val="24"/>
                <w:szCs w:val="24"/>
              </w:rPr>
              <w:t>粤水电于2001年12月27日成立于中国广东省，为深圳证券交易所上市公司，主要业务为工程建设业务以及清洁能源发电业务。 粤水电的最大股东现为建工控股，但在反垄断法意义下，无最终控制人。</w:t>
            </w:r>
          </w:p>
        </w:tc>
      </w:tr>
      <w:tr w:rsidR="009B256C" w14:paraId="1C3DDDE5" w14:textId="77777777">
        <w:trPr>
          <w:trHeight w:val="559"/>
        </w:trPr>
        <w:tc>
          <w:tcPr>
            <w:tcW w:w="1725" w:type="dxa"/>
            <w:vMerge/>
            <w:shd w:val="clear" w:color="auto" w:fill="D9D9D9"/>
            <w:vAlign w:val="center"/>
          </w:tcPr>
          <w:p w14:paraId="2F18DF6C" w14:textId="77777777" w:rsidR="009B256C" w:rsidRDefault="009B256C">
            <w:pPr>
              <w:spacing w:line="500" w:lineRule="exact"/>
              <w:jc w:val="center"/>
              <w:rPr>
                <w:rFonts w:ascii="仿宋" w:eastAsia="仿宋" w:hAnsi="仿宋" w:cs="宋体"/>
                <w:color w:val="333333"/>
                <w:kern w:val="0"/>
                <w:sz w:val="24"/>
                <w:szCs w:val="24"/>
              </w:rPr>
            </w:pPr>
          </w:p>
        </w:tc>
        <w:tc>
          <w:tcPr>
            <w:tcW w:w="1125" w:type="dxa"/>
          </w:tcPr>
          <w:p w14:paraId="68400B3F" w14:textId="77777777"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3、广东院</w:t>
            </w:r>
          </w:p>
        </w:tc>
        <w:tc>
          <w:tcPr>
            <w:tcW w:w="5908" w:type="dxa"/>
          </w:tcPr>
          <w:p w14:paraId="7BFC67FE" w14:textId="77777777" w:rsidR="009B256C" w:rsidRDefault="009B256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广东院于2001年11月8日成立于中国广东省，主要业务为工程勘察、设计、规划咨询、总承包、投资和运营，</w:t>
            </w:r>
            <w:r>
              <w:rPr>
                <w:rFonts w:ascii="仿宋" w:eastAsia="仿宋" w:hAnsi="仿宋" w:cs="宋体" w:hint="eastAsia"/>
                <w:color w:val="333333"/>
                <w:kern w:val="0"/>
                <w:sz w:val="24"/>
                <w:szCs w:val="24"/>
              </w:rPr>
              <w:lastRenderedPageBreak/>
              <w:t>是具有核心竞争力的国际工程公司。</w:t>
            </w:r>
          </w:p>
          <w:p w14:paraId="1D2E81FF" w14:textId="77777777" w:rsidR="009B256C" w:rsidRDefault="009B256C">
            <w:pPr>
              <w:spacing w:line="500" w:lineRule="exact"/>
            </w:pPr>
            <w:r>
              <w:rPr>
                <w:rFonts w:ascii="仿宋" w:eastAsia="仿宋" w:hAnsi="仿宋" w:cs="宋体" w:hint="eastAsia"/>
                <w:color w:val="333333"/>
                <w:kern w:val="0"/>
                <w:sz w:val="24"/>
                <w:szCs w:val="24"/>
              </w:rPr>
              <w:t>广东院的最终控制人中国能源建设股份有限公司成立于2014年12月19日，并于2015年12月10日在香港联交所上市，2021年9月28日，在上海证券交易所主板挂牌上市，主要从事电力工程总承包业务。</w:t>
            </w:r>
          </w:p>
        </w:tc>
      </w:tr>
      <w:tr w:rsidR="00B37C9C" w14:paraId="0A7704D0" w14:textId="77777777">
        <w:trPr>
          <w:trHeight w:val="279"/>
        </w:trPr>
        <w:tc>
          <w:tcPr>
            <w:tcW w:w="1725" w:type="dxa"/>
            <w:vMerge w:val="restart"/>
            <w:shd w:val="clear" w:color="auto" w:fill="D9D9D9"/>
            <w:vAlign w:val="center"/>
          </w:tcPr>
          <w:p w14:paraId="0C764DE5"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lastRenderedPageBreak/>
              <w:t>简易案件理由（可以单选，也可以多选）</w:t>
            </w:r>
          </w:p>
        </w:tc>
        <w:tc>
          <w:tcPr>
            <w:tcW w:w="7033" w:type="dxa"/>
            <w:gridSpan w:val="2"/>
          </w:tcPr>
          <w:p w14:paraId="31970A68"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2" w:char="0052"/>
            </w:r>
            <w:r>
              <w:rPr>
                <w:rFonts w:ascii="仿宋" w:eastAsia="仿宋" w:hAnsi="仿宋" w:cs="宋体" w:hint="eastAsia"/>
                <w:color w:val="333333"/>
                <w:kern w:val="0"/>
                <w:sz w:val="24"/>
                <w:szCs w:val="24"/>
              </w:rPr>
              <w:t>1.在同一相关市场，所有参与集中的经营者所占市场份额之和小于15%。</w:t>
            </w:r>
          </w:p>
        </w:tc>
      </w:tr>
      <w:tr w:rsidR="00B37C9C" w14:paraId="56583908" w14:textId="77777777">
        <w:trPr>
          <w:trHeight w:val="330"/>
        </w:trPr>
        <w:tc>
          <w:tcPr>
            <w:tcW w:w="1725" w:type="dxa"/>
            <w:vMerge/>
            <w:shd w:val="clear" w:color="auto" w:fill="D9D9D9"/>
            <w:vAlign w:val="center"/>
          </w:tcPr>
          <w:p w14:paraId="1300488D"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CEC0A6A"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2" w:char="0052"/>
            </w:r>
            <w:r>
              <w:rPr>
                <w:rFonts w:ascii="仿宋" w:eastAsia="仿宋" w:hAnsi="仿宋" w:cs="宋体" w:hint="eastAsia"/>
                <w:color w:val="333333"/>
                <w:kern w:val="0"/>
                <w:sz w:val="24"/>
                <w:szCs w:val="24"/>
              </w:rPr>
              <w:t>2.存在上下游关系的参与集中的经营者，在上下游市场所占的市场份额均小于25%。</w:t>
            </w:r>
          </w:p>
        </w:tc>
      </w:tr>
      <w:tr w:rsidR="00B37C9C" w14:paraId="1483965D" w14:textId="77777777">
        <w:trPr>
          <w:trHeight w:val="285"/>
        </w:trPr>
        <w:tc>
          <w:tcPr>
            <w:tcW w:w="1725" w:type="dxa"/>
            <w:vMerge/>
            <w:shd w:val="clear" w:color="auto" w:fill="D9D9D9"/>
            <w:vAlign w:val="center"/>
          </w:tcPr>
          <w:p w14:paraId="1190CE69"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7B4B5833"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2" w:char="00A3"/>
            </w:r>
            <w:r>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B37C9C" w14:paraId="458895CC" w14:textId="77777777">
        <w:trPr>
          <w:trHeight w:val="870"/>
        </w:trPr>
        <w:tc>
          <w:tcPr>
            <w:tcW w:w="1725" w:type="dxa"/>
            <w:vMerge/>
            <w:shd w:val="clear" w:color="auto" w:fill="D9D9D9"/>
            <w:vAlign w:val="center"/>
          </w:tcPr>
          <w:p w14:paraId="172C2EC0"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150A41BC"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B37C9C" w14:paraId="4014FF31" w14:textId="77777777">
        <w:trPr>
          <w:trHeight w:val="264"/>
        </w:trPr>
        <w:tc>
          <w:tcPr>
            <w:tcW w:w="1725" w:type="dxa"/>
            <w:vMerge/>
            <w:shd w:val="clear" w:color="auto" w:fill="D9D9D9"/>
            <w:vAlign w:val="center"/>
          </w:tcPr>
          <w:p w14:paraId="23E79E69"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7B4D9D2"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B37C9C" w14:paraId="0B78CB2D" w14:textId="77777777">
        <w:trPr>
          <w:trHeight w:val="345"/>
        </w:trPr>
        <w:tc>
          <w:tcPr>
            <w:tcW w:w="1725" w:type="dxa"/>
            <w:vMerge/>
            <w:shd w:val="clear" w:color="auto" w:fill="D9D9D9"/>
            <w:vAlign w:val="center"/>
          </w:tcPr>
          <w:p w14:paraId="008ED398" w14:textId="77777777" w:rsidR="00B37C9C" w:rsidRDefault="00B37C9C">
            <w:pPr>
              <w:spacing w:line="500" w:lineRule="exact"/>
              <w:jc w:val="center"/>
              <w:rPr>
                <w:rFonts w:ascii="仿宋" w:eastAsia="仿宋" w:hAnsi="仿宋" w:cs="宋体"/>
                <w:color w:val="333333"/>
                <w:kern w:val="0"/>
                <w:sz w:val="24"/>
                <w:szCs w:val="24"/>
              </w:rPr>
            </w:pPr>
          </w:p>
        </w:tc>
        <w:tc>
          <w:tcPr>
            <w:tcW w:w="7033" w:type="dxa"/>
            <w:gridSpan w:val="2"/>
          </w:tcPr>
          <w:p w14:paraId="02582B11"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B37C9C" w14:paraId="5A7D8FBD" w14:textId="77777777">
        <w:tc>
          <w:tcPr>
            <w:tcW w:w="1725" w:type="dxa"/>
            <w:shd w:val="clear" w:color="auto" w:fill="D9D9D9"/>
            <w:vAlign w:val="center"/>
          </w:tcPr>
          <w:p w14:paraId="34172B77" w14:textId="77777777" w:rsidR="00B37C9C" w:rsidRDefault="00000000">
            <w:pPr>
              <w:spacing w:line="500" w:lineRule="exact"/>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7033" w:type="dxa"/>
            <w:gridSpan w:val="2"/>
          </w:tcPr>
          <w:p w14:paraId="77EB4293" w14:textId="1B6C2A4C"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本次集中的相关市场及市场份额数据如下：</w:t>
            </w:r>
          </w:p>
          <w:p w14:paraId="1765FA0A" w14:textId="27E73B97" w:rsidR="00B37C9C" w:rsidRDefault="005A22E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上游：</w:t>
            </w:r>
            <w:r w:rsidR="00000000">
              <w:rPr>
                <w:rFonts w:ascii="仿宋" w:eastAsia="仿宋" w:hAnsi="仿宋" w:cs="宋体" w:hint="eastAsia"/>
                <w:color w:val="333333"/>
                <w:kern w:val="0"/>
                <w:sz w:val="24"/>
                <w:szCs w:val="24"/>
              </w:rPr>
              <w:t>中国境内水力电站的建设和运营</w:t>
            </w:r>
          </w:p>
          <w:p w14:paraId="3E361631"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 南网调峰调频（及其关联实体）：0-3%</w:t>
            </w:r>
          </w:p>
          <w:p w14:paraId="3BFE375C" w14:textId="45CF3652"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 粤水电（及其关联实体）：0-0.5%</w:t>
            </w:r>
          </w:p>
          <w:p w14:paraId="5F3C8EB0" w14:textId="7F219146" w:rsidR="00B37C9C" w:rsidRDefault="005A22EC">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下游：</w:t>
            </w:r>
            <w:r w:rsidR="00000000">
              <w:rPr>
                <w:rFonts w:ascii="仿宋" w:eastAsia="仿宋" w:hAnsi="仿宋" w:cs="宋体" w:hint="eastAsia"/>
                <w:color w:val="333333"/>
                <w:kern w:val="0"/>
                <w:sz w:val="24"/>
                <w:szCs w:val="24"/>
              </w:rPr>
              <w:t>中国境内</w:t>
            </w:r>
            <w:r>
              <w:rPr>
                <w:rFonts w:ascii="仿宋" w:eastAsia="仿宋" w:hAnsi="仿宋" w:cs="宋体" w:hint="eastAsia"/>
                <w:color w:val="333333"/>
                <w:kern w:val="0"/>
                <w:sz w:val="24"/>
                <w:szCs w:val="24"/>
              </w:rPr>
              <w:t>水电站运维服务</w:t>
            </w:r>
          </w:p>
          <w:p w14:paraId="39476B32" w14:textId="77777777" w:rsidR="00B37C9C" w:rsidRDefault="00000000">
            <w:pPr>
              <w:spacing w:line="500" w:lineRule="exact"/>
              <w:rPr>
                <w:rFonts w:ascii="仿宋" w:eastAsia="仿宋" w:hAnsi="仿宋" w:cs="宋体"/>
                <w:color w:val="333333"/>
                <w:kern w:val="0"/>
                <w:sz w:val="24"/>
                <w:szCs w:val="24"/>
              </w:rPr>
            </w:pPr>
            <w:r>
              <w:rPr>
                <w:rFonts w:ascii="仿宋" w:eastAsia="仿宋" w:hAnsi="仿宋" w:cs="宋体" w:hint="eastAsia"/>
                <w:color w:val="333333"/>
                <w:kern w:val="0"/>
                <w:sz w:val="24"/>
                <w:szCs w:val="24"/>
              </w:rPr>
              <w:t>- 粤水电（及其关联实体）：0-0.5%</w:t>
            </w:r>
          </w:p>
          <w:p w14:paraId="7FCC44EF" w14:textId="77777777" w:rsidR="00B37C9C" w:rsidRDefault="00000000">
            <w:pPr>
              <w:spacing w:line="500" w:lineRule="exact"/>
            </w:pPr>
            <w:r>
              <w:rPr>
                <w:rFonts w:ascii="仿宋" w:eastAsia="仿宋" w:hAnsi="仿宋" w:cs="宋体" w:hint="eastAsia"/>
                <w:color w:val="333333"/>
                <w:kern w:val="0"/>
                <w:sz w:val="24"/>
                <w:szCs w:val="24"/>
              </w:rPr>
              <w:t>- 合营企业（预估）：0-0.1%</w:t>
            </w:r>
          </w:p>
        </w:tc>
      </w:tr>
    </w:tbl>
    <w:p w14:paraId="1E003CE0" w14:textId="77777777" w:rsidR="00B37C9C" w:rsidRDefault="00B37C9C">
      <w:pPr>
        <w:snapToGrid w:val="0"/>
        <w:spacing w:line="240" w:lineRule="exact"/>
        <w:jc w:val="left"/>
        <w:rPr>
          <w:rFonts w:ascii="楷体_GB2312" w:eastAsia="楷体_GB2312" w:hAnsi="宋体"/>
          <w:sz w:val="24"/>
          <w:szCs w:val="24"/>
        </w:rPr>
      </w:pPr>
    </w:p>
    <w:sectPr w:rsidR="00B37C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9BA7A" w14:textId="77777777" w:rsidR="006B2076" w:rsidRDefault="006B2076" w:rsidP="009B256C">
      <w:r>
        <w:separator/>
      </w:r>
    </w:p>
  </w:endnote>
  <w:endnote w:type="continuationSeparator" w:id="0">
    <w:p w14:paraId="0FFE69FA" w14:textId="77777777" w:rsidR="006B2076" w:rsidRDefault="006B2076" w:rsidP="009B2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ECEE8" w14:textId="77777777" w:rsidR="006B2076" w:rsidRDefault="006B2076" w:rsidP="009B256C">
      <w:r>
        <w:separator/>
      </w:r>
    </w:p>
  </w:footnote>
  <w:footnote w:type="continuationSeparator" w:id="0">
    <w:p w14:paraId="3C6E5555" w14:textId="77777777" w:rsidR="006B2076" w:rsidRDefault="006B2076" w:rsidP="009B25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A0OThlNzM5YmMxOWQ5NzZkM2QwNjRhNTFjNjA4ZTQifQ=="/>
  </w:docVars>
  <w:rsids>
    <w:rsidRoot w:val="00CB00DF"/>
    <w:rsid w:val="00037065"/>
    <w:rsid w:val="000B0D42"/>
    <w:rsid w:val="000D7EBA"/>
    <w:rsid w:val="001164CD"/>
    <w:rsid w:val="00155717"/>
    <w:rsid w:val="001837A3"/>
    <w:rsid w:val="00265942"/>
    <w:rsid w:val="003C0AEB"/>
    <w:rsid w:val="00424170"/>
    <w:rsid w:val="004F7688"/>
    <w:rsid w:val="005A22EC"/>
    <w:rsid w:val="005B6C22"/>
    <w:rsid w:val="006467D8"/>
    <w:rsid w:val="006A531B"/>
    <w:rsid w:val="006B2076"/>
    <w:rsid w:val="006F7693"/>
    <w:rsid w:val="00710140"/>
    <w:rsid w:val="007F2275"/>
    <w:rsid w:val="00915F0F"/>
    <w:rsid w:val="009532DF"/>
    <w:rsid w:val="00997019"/>
    <w:rsid w:val="009A5029"/>
    <w:rsid w:val="009B256C"/>
    <w:rsid w:val="009B3447"/>
    <w:rsid w:val="009D38D5"/>
    <w:rsid w:val="00A53F26"/>
    <w:rsid w:val="00AA0CC5"/>
    <w:rsid w:val="00B16AFE"/>
    <w:rsid w:val="00B37C9C"/>
    <w:rsid w:val="00B65DD5"/>
    <w:rsid w:val="00BB05E0"/>
    <w:rsid w:val="00BD10B6"/>
    <w:rsid w:val="00C02246"/>
    <w:rsid w:val="00C07076"/>
    <w:rsid w:val="00CB00DF"/>
    <w:rsid w:val="00CB1640"/>
    <w:rsid w:val="00D73C72"/>
    <w:rsid w:val="00E0592B"/>
    <w:rsid w:val="00E070CD"/>
    <w:rsid w:val="00E31738"/>
    <w:rsid w:val="00E74FB4"/>
    <w:rsid w:val="00E86786"/>
    <w:rsid w:val="00ED2F80"/>
    <w:rsid w:val="00F1624E"/>
    <w:rsid w:val="00F32F8A"/>
    <w:rsid w:val="00F810AA"/>
    <w:rsid w:val="00FB43EC"/>
    <w:rsid w:val="00FB6B40"/>
    <w:rsid w:val="05DF01CC"/>
    <w:rsid w:val="331A0E1E"/>
    <w:rsid w:val="3A88215A"/>
    <w:rsid w:val="4DED5FB8"/>
    <w:rsid w:val="5FDC77C1"/>
    <w:rsid w:val="689618A9"/>
    <w:rsid w:val="7A522D47"/>
    <w:rsid w:val="7D444F7A"/>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B35D6"/>
  <w15:docId w15:val="{2E325F58-9072-4E28-891B-E5E8B948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qFormat/>
  </w:style>
  <w:style w:type="paragraph" w:styleId="a4">
    <w:name w:val="Normal (Web)"/>
    <w:basedOn w:val="a"/>
    <w:uiPriority w:val="99"/>
    <w:semiHidden/>
    <w:unhideWhenUsed/>
    <w:qFormat/>
    <w:pPr>
      <w:spacing w:beforeAutospacing="1" w:afterAutospacing="1"/>
      <w:jc w:val="left"/>
    </w:pPr>
    <w:rPr>
      <w:kern w:val="0"/>
      <w:sz w:val="24"/>
    </w:rPr>
  </w:style>
  <w:style w:type="paragraph" w:styleId="a5">
    <w:name w:val="header"/>
    <w:basedOn w:val="a"/>
    <w:link w:val="a6"/>
    <w:uiPriority w:val="99"/>
    <w:unhideWhenUsed/>
    <w:rsid w:val="009B256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1"/>
    <w:link w:val="a5"/>
    <w:uiPriority w:val="99"/>
    <w:rsid w:val="009B256C"/>
    <w:rPr>
      <w:rFonts w:ascii="Calibri" w:hAnsi="Calibri"/>
      <w:kern w:val="2"/>
      <w:sz w:val="18"/>
      <w:szCs w:val="18"/>
    </w:rPr>
  </w:style>
  <w:style w:type="paragraph" w:styleId="a7">
    <w:name w:val="footer"/>
    <w:basedOn w:val="a"/>
    <w:link w:val="a8"/>
    <w:uiPriority w:val="99"/>
    <w:unhideWhenUsed/>
    <w:rsid w:val="009B256C"/>
    <w:pPr>
      <w:tabs>
        <w:tab w:val="center" w:pos="4153"/>
        <w:tab w:val="right" w:pos="8306"/>
      </w:tabs>
      <w:snapToGrid w:val="0"/>
      <w:jc w:val="left"/>
    </w:pPr>
    <w:rPr>
      <w:sz w:val="18"/>
      <w:szCs w:val="18"/>
    </w:rPr>
  </w:style>
  <w:style w:type="character" w:customStyle="1" w:styleId="a8">
    <w:name w:val="页脚 字符"/>
    <w:basedOn w:val="a1"/>
    <w:link w:val="a7"/>
    <w:uiPriority w:val="99"/>
    <w:rsid w:val="009B256C"/>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大象律师</cp:lastModifiedBy>
  <cp:revision>3</cp:revision>
  <dcterms:created xsi:type="dcterms:W3CDTF">2022-11-18T10:39:00Z</dcterms:created>
  <dcterms:modified xsi:type="dcterms:W3CDTF">2022-11-18T10:40:00Z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297C9A5B5D1544089269AD813BD134FC</vt:lpwstr>
  </property>
</Properties>
</file>