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黑体" w:eastAsia="黑体"/>
          <w:sz w:val="36"/>
          <w:szCs w:val="36"/>
        </w:rPr>
      </w:pPr>
      <w:r>
        <w:rPr>
          <w:rFonts w:ascii="黑体" w:hAnsi="黑体" w:eastAsia="黑体"/>
          <w:sz w:val="36"/>
          <w:szCs w:val="36"/>
        </w:rPr>
        <w:t>经营者集中简易案件公示表</w:t>
      </w:r>
    </w:p>
    <w:p>
      <w:pPr>
        <w:spacing w:line="440" w:lineRule="exact"/>
        <w:rPr>
          <w:rFonts w:ascii="Times New Roman" w:hAnsi="Times New Roman"/>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Times New Roman" w:hAnsi="Times New Roman"/>
                <w:color w:val="auto"/>
                <w:kern w:val="0"/>
                <w:sz w:val="24"/>
                <w:szCs w:val="24"/>
              </w:rPr>
            </w:pPr>
            <w:r>
              <w:rPr>
                <w:rFonts w:ascii="Times New Roman" w:hAnsi="Times New Roman"/>
                <w:color w:val="auto"/>
                <w:kern w:val="0"/>
                <w:sz w:val="24"/>
                <w:szCs w:val="24"/>
              </w:rPr>
              <w:t>案件名称</w:t>
            </w:r>
          </w:p>
        </w:tc>
        <w:tc>
          <w:tcPr>
            <w:tcW w:w="6949" w:type="dxa"/>
            <w:gridSpan w:val="2"/>
          </w:tcPr>
          <w:p>
            <w:pPr>
              <w:rPr>
                <w:rFonts w:ascii="Times New Roman" w:hAnsi="Times New Roman"/>
                <w:color w:val="auto"/>
                <w:kern w:val="0"/>
                <w:sz w:val="24"/>
                <w:szCs w:val="24"/>
              </w:rPr>
            </w:pPr>
            <w:r>
              <w:rPr>
                <w:rFonts w:hint="eastAsia" w:ascii="Times New Roman" w:hAnsi="Times New Roman"/>
                <w:color w:val="auto"/>
                <w:kern w:val="0"/>
                <w:sz w:val="24"/>
                <w:szCs w:val="24"/>
              </w:rPr>
              <w:t>中海码头发展有限公司收购厦门海沧保税港区投资建设管理有限公司股权案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jc w:val="center"/>
              <w:rPr>
                <w:rFonts w:ascii="Times New Roman" w:hAnsi="Times New Roman"/>
                <w:color w:val="auto"/>
                <w:kern w:val="0"/>
                <w:sz w:val="24"/>
                <w:szCs w:val="24"/>
              </w:rPr>
            </w:pPr>
            <w:r>
              <w:rPr>
                <w:rFonts w:ascii="Times New Roman" w:hAnsi="Times New Roman"/>
                <w:color w:val="auto"/>
                <w:kern w:val="0"/>
                <w:sz w:val="24"/>
                <w:szCs w:val="24"/>
              </w:rPr>
              <w:t>交易概况</w:t>
            </w:r>
          </w:p>
          <w:p>
            <w:pPr>
              <w:jc w:val="center"/>
              <w:rPr>
                <w:rFonts w:ascii="Times New Roman" w:hAnsi="Times New Roman"/>
                <w:color w:val="auto"/>
                <w:kern w:val="0"/>
                <w:sz w:val="24"/>
                <w:szCs w:val="24"/>
              </w:rPr>
            </w:pPr>
            <w:r>
              <w:rPr>
                <w:rFonts w:ascii="Times New Roman" w:hAnsi="Times New Roman"/>
                <w:color w:val="auto"/>
                <w:kern w:val="0"/>
                <w:sz w:val="24"/>
                <w:szCs w:val="24"/>
              </w:rPr>
              <w:t>（限200字内）</w:t>
            </w:r>
          </w:p>
        </w:tc>
        <w:tc>
          <w:tcPr>
            <w:tcW w:w="6949" w:type="dxa"/>
            <w:gridSpan w:val="2"/>
          </w:tcPr>
          <w:p>
            <w:pPr>
              <w:rPr>
                <w:rFonts w:ascii="Times New Roman" w:hAnsi="Times New Roman"/>
                <w:color w:val="auto"/>
                <w:kern w:val="0"/>
                <w:sz w:val="24"/>
                <w:szCs w:val="24"/>
              </w:rPr>
            </w:pPr>
            <w:r>
              <w:rPr>
                <w:rFonts w:hint="eastAsia" w:ascii="Times New Roman" w:hAnsi="Times New Roman"/>
                <w:color w:val="auto"/>
                <w:kern w:val="0"/>
                <w:sz w:val="24"/>
                <w:szCs w:val="24"/>
              </w:rPr>
              <w:t>中海码头发展有限公司（“中海码头”）与厦门海投供应链运营有限公司（“海投供应链公司”）签署协议，前者向后者购买厦门海沧保税港区投资建设管理有限公司（“海投建设公司”）部分股权。交易前，海投供应链公司单独控制海投建设公司。交易完成后，中海码头与海投供应链公司将分别持有海投建设公司</w:t>
            </w:r>
            <w:r>
              <w:rPr>
                <w:rFonts w:ascii="Times New Roman" w:hAnsi="Times New Roman"/>
                <w:color w:val="auto"/>
                <w:kern w:val="0"/>
                <w:sz w:val="24"/>
                <w:szCs w:val="24"/>
              </w:rPr>
              <w:t>56%</w:t>
            </w:r>
            <w:r>
              <w:rPr>
                <w:rFonts w:hint="eastAsia" w:ascii="Times New Roman" w:hAnsi="Times New Roman"/>
                <w:color w:val="auto"/>
                <w:kern w:val="0"/>
                <w:sz w:val="24"/>
                <w:szCs w:val="24"/>
              </w:rPr>
              <w:t>、4</w:t>
            </w:r>
            <w:r>
              <w:rPr>
                <w:rFonts w:ascii="Times New Roman" w:hAnsi="Times New Roman"/>
                <w:color w:val="auto"/>
                <w:kern w:val="0"/>
                <w:sz w:val="24"/>
                <w:szCs w:val="24"/>
              </w:rPr>
              <w:t>4%</w:t>
            </w:r>
            <w:r>
              <w:rPr>
                <w:rFonts w:hint="eastAsia" w:ascii="Times New Roman" w:hAnsi="Times New Roman"/>
                <w:color w:val="auto"/>
                <w:kern w:val="0"/>
                <w:sz w:val="24"/>
                <w:szCs w:val="24"/>
              </w:rPr>
              <w:t>股权，共同控制海投建设公司。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jc w:val="center"/>
              <w:rPr>
                <w:rFonts w:ascii="Times New Roman" w:hAnsi="Times New Roman"/>
                <w:color w:val="auto"/>
                <w:kern w:val="0"/>
                <w:sz w:val="24"/>
                <w:szCs w:val="24"/>
              </w:rPr>
            </w:pPr>
            <w:r>
              <w:rPr>
                <w:rFonts w:ascii="Times New Roman" w:hAnsi="Times New Roman"/>
                <w:color w:val="auto"/>
                <w:kern w:val="0"/>
                <w:sz w:val="24"/>
                <w:szCs w:val="24"/>
              </w:rPr>
              <w:t>参与集中的</w:t>
            </w:r>
          </w:p>
          <w:p>
            <w:pPr>
              <w:jc w:val="center"/>
              <w:rPr>
                <w:rFonts w:ascii="Times New Roman" w:hAnsi="Times New Roman"/>
                <w:color w:val="auto"/>
                <w:kern w:val="0"/>
                <w:sz w:val="24"/>
                <w:szCs w:val="24"/>
              </w:rPr>
            </w:pPr>
            <w:r>
              <w:rPr>
                <w:rFonts w:ascii="Times New Roman" w:hAnsi="Times New Roman"/>
                <w:color w:val="auto"/>
                <w:kern w:val="0"/>
                <w:sz w:val="24"/>
                <w:szCs w:val="24"/>
              </w:rPr>
              <w:t>经营者简介</w:t>
            </w:r>
          </w:p>
        </w:tc>
        <w:tc>
          <w:tcPr>
            <w:tcW w:w="1796" w:type="dxa"/>
          </w:tcPr>
          <w:p>
            <w:pPr>
              <w:rPr>
                <w:rFonts w:ascii="Times New Roman" w:hAnsi="Times New Roman"/>
                <w:color w:val="auto"/>
                <w:kern w:val="0"/>
                <w:sz w:val="24"/>
                <w:szCs w:val="24"/>
              </w:rPr>
            </w:pPr>
            <w:r>
              <w:rPr>
                <w:rFonts w:ascii="Times New Roman" w:hAnsi="Times New Roman"/>
                <w:color w:val="auto"/>
                <w:kern w:val="0"/>
                <w:sz w:val="24"/>
                <w:szCs w:val="24"/>
              </w:rPr>
              <w:t>1、</w:t>
            </w:r>
            <w:r>
              <w:rPr>
                <w:rFonts w:hint="eastAsia" w:ascii="Times New Roman" w:hAnsi="Times New Roman"/>
                <w:color w:val="auto"/>
                <w:kern w:val="0"/>
                <w:sz w:val="24"/>
                <w:szCs w:val="24"/>
              </w:rPr>
              <w:t>中海码头</w:t>
            </w:r>
          </w:p>
        </w:tc>
        <w:tc>
          <w:tcPr>
            <w:tcW w:w="5153" w:type="dxa"/>
          </w:tcPr>
          <w:p>
            <w:pPr>
              <w:rPr>
                <w:rFonts w:ascii="Times New Roman" w:hAnsi="Times New Roman"/>
                <w:color w:val="auto"/>
                <w:kern w:val="0"/>
                <w:sz w:val="24"/>
                <w:szCs w:val="24"/>
              </w:rPr>
            </w:pPr>
            <w:r>
              <w:rPr>
                <w:rFonts w:hint="eastAsia" w:ascii="Times New Roman" w:hAnsi="Times New Roman"/>
                <w:color w:val="auto"/>
                <w:kern w:val="0"/>
                <w:sz w:val="24"/>
                <w:szCs w:val="24"/>
              </w:rPr>
              <w:t>中海码头于200</w:t>
            </w:r>
            <w:r>
              <w:rPr>
                <w:rFonts w:ascii="Times New Roman" w:hAnsi="Times New Roman"/>
                <w:color w:val="auto"/>
                <w:kern w:val="0"/>
                <w:sz w:val="24"/>
                <w:szCs w:val="24"/>
              </w:rPr>
              <w:t>1</w:t>
            </w:r>
            <w:r>
              <w:rPr>
                <w:rFonts w:hint="eastAsia" w:ascii="Times New Roman" w:hAnsi="Times New Roman"/>
                <w:color w:val="auto"/>
                <w:kern w:val="0"/>
                <w:sz w:val="24"/>
                <w:szCs w:val="24"/>
              </w:rPr>
              <w:t>年</w:t>
            </w:r>
            <w:r>
              <w:rPr>
                <w:rFonts w:ascii="Times New Roman" w:hAnsi="Times New Roman"/>
                <w:color w:val="auto"/>
                <w:kern w:val="0"/>
                <w:sz w:val="24"/>
                <w:szCs w:val="24"/>
              </w:rPr>
              <w:t>3</w:t>
            </w:r>
            <w:r>
              <w:rPr>
                <w:rFonts w:hint="eastAsia" w:ascii="Times New Roman" w:hAnsi="Times New Roman"/>
                <w:color w:val="auto"/>
                <w:kern w:val="0"/>
                <w:sz w:val="24"/>
                <w:szCs w:val="24"/>
              </w:rPr>
              <w:t>月2</w:t>
            </w:r>
            <w:r>
              <w:rPr>
                <w:rFonts w:ascii="Times New Roman" w:hAnsi="Times New Roman"/>
                <w:color w:val="auto"/>
                <w:kern w:val="0"/>
                <w:sz w:val="24"/>
                <w:szCs w:val="24"/>
              </w:rPr>
              <w:t>1</w:t>
            </w:r>
            <w:r>
              <w:rPr>
                <w:rFonts w:hint="eastAsia" w:ascii="Times New Roman" w:hAnsi="Times New Roman"/>
                <w:color w:val="auto"/>
                <w:kern w:val="0"/>
                <w:sz w:val="24"/>
                <w:szCs w:val="24"/>
              </w:rPr>
              <w:t>日成立于中国上海市，主要业务为对国内外码头的投资、仓储、码头设施和设备的融物租赁等。</w:t>
            </w:r>
          </w:p>
          <w:p>
            <w:pPr>
              <w:rPr>
                <w:rFonts w:ascii="Times New Roman" w:hAnsi="Times New Roman"/>
                <w:color w:val="auto"/>
                <w:kern w:val="0"/>
                <w:sz w:val="24"/>
                <w:szCs w:val="24"/>
              </w:rPr>
            </w:pPr>
            <w:r>
              <w:rPr>
                <w:rFonts w:hint="eastAsia" w:ascii="Times New Roman" w:hAnsi="Times New Roman"/>
                <w:color w:val="auto"/>
                <w:kern w:val="0"/>
                <w:sz w:val="24"/>
                <w:szCs w:val="24"/>
              </w:rPr>
              <w:t>中海码头最终控制人为中国远洋海运集团有限公司，主要业务为国际船舶运输、货物及技术的进出口、国际货运代理、码头和港口投资等。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jc w:val="center"/>
              <w:rPr>
                <w:rFonts w:ascii="Times New Roman" w:hAnsi="Times New Roman"/>
                <w:color w:val="auto"/>
                <w:kern w:val="0"/>
                <w:sz w:val="24"/>
                <w:szCs w:val="24"/>
              </w:rPr>
            </w:pPr>
          </w:p>
        </w:tc>
        <w:tc>
          <w:tcPr>
            <w:tcW w:w="1796" w:type="dxa"/>
          </w:tcPr>
          <w:p>
            <w:pPr>
              <w:rPr>
                <w:rFonts w:ascii="Times New Roman" w:hAnsi="Times New Roman"/>
                <w:color w:val="auto"/>
                <w:kern w:val="0"/>
                <w:sz w:val="24"/>
                <w:szCs w:val="24"/>
              </w:rPr>
            </w:pPr>
            <w:r>
              <w:rPr>
                <w:rFonts w:ascii="Times New Roman" w:hAnsi="Times New Roman"/>
                <w:color w:val="auto"/>
                <w:kern w:val="0"/>
                <w:sz w:val="24"/>
                <w:szCs w:val="24"/>
              </w:rPr>
              <w:t>2、</w:t>
            </w:r>
            <w:r>
              <w:rPr>
                <w:rFonts w:hint="eastAsia" w:ascii="Times New Roman" w:hAnsi="Times New Roman"/>
                <w:color w:val="auto"/>
                <w:kern w:val="0"/>
                <w:sz w:val="24"/>
                <w:szCs w:val="24"/>
              </w:rPr>
              <w:t>海投供应链公司</w:t>
            </w:r>
          </w:p>
        </w:tc>
        <w:tc>
          <w:tcPr>
            <w:tcW w:w="5153" w:type="dxa"/>
          </w:tcPr>
          <w:p>
            <w:pPr>
              <w:rPr>
                <w:rFonts w:ascii="Times New Roman" w:hAnsi="Times New Roman"/>
                <w:color w:val="auto"/>
                <w:kern w:val="0"/>
                <w:sz w:val="24"/>
                <w:szCs w:val="24"/>
              </w:rPr>
            </w:pPr>
            <w:r>
              <w:rPr>
                <w:rFonts w:hint="eastAsia" w:ascii="Times New Roman" w:hAnsi="Times New Roman"/>
                <w:color w:val="auto"/>
                <w:kern w:val="0"/>
                <w:sz w:val="24"/>
                <w:szCs w:val="24"/>
              </w:rPr>
              <w:t>海投供应链公司于</w:t>
            </w:r>
            <w:r>
              <w:rPr>
                <w:rFonts w:ascii="Times New Roman" w:hAnsi="Times New Roman"/>
                <w:color w:val="auto"/>
                <w:kern w:val="0"/>
                <w:sz w:val="24"/>
                <w:szCs w:val="24"/>
              </w:rPr>
              <w:t>2001</w:t>
            </w:r>
            <w:r>
              <w:rPr>
                <w:rFonts w:hint="eastAsia" w:ascii="Times New Roman" w:hAnsi="Times New Roman"/>
                <w:color w:val="auto"/>
                <w:kern w:val="0"/>
                <w:sz w:val="24"/>
                <w:szCs w:val="24"/>
              </w:rPr>
              <w:t>年2月</w:t>
            </w:r>
            <w:r>
              <w:rPr>
                <w:rFonts w:ascii="Times New Roman" w:hAnsi="Times New Roman"/>
                <w:color w:val="auto"/>
                <w:kern w:val="0"/>
                <w:sz w:val="24"/>
                <w:szCs w:val="24"/>
              </w:rPr>
              <w:t>19</w:t>
            </w:r>
            <w:r>
              <w:rPr>
                <w:rFonts w:hint="eastAsia" w:ascii="Times New Roman" w:hAnsi="Times New Roman"/>
                <w:color w:val="auto"/>
                <w:kern w:val="0"/>
                <w:sz w:val="24"/>
                <w:szCs w:val="24"/>
              </w:rPr>
              <w:t>日成立于中国福建省，主要业务包括园区经营和大宗商品物流基地的合作运营、物流增值服务、口岸通关综合查验、供应链解决方案等。</w:t>
            </w:r>
          </w:p>
          <w:p>
            <w:pPr>
              <w:rPr>
                <w:rFonts w:ascii="Times New Roman" w:hAnsi="Times New Roman"/>
                <w:color w:val="auto"/>
                <w:kern w:val="0"/>
                <w:sz w:val="24"/>
                <w:szCs w:val="24"/>
              </w:rPr>
            </w:pPr>
            <w:r>
              <w:rPr>
                <w:rFonts w:hint="eastAsia" w:ascii="Times New Roman" w:hAnsi="Times New Roman"/>
                <w:color w:val="auto"/>
                <w:kern w:val="0"/>
                <w:sz w:val="24"/>
                <w:szCs w:val="24"/>
              </w:rPr>
              <w:t>海投供应链公司最终控制人为厦门海沧投资集团有限公司，主要业务为置业、供应链综合服务、工程建设、旅游资源开发与运营。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ascii="Times New Roman" w:hAnsi="Times New Roman"/>
                <w:color w:val="auto"/>
                <w:kern w:val="0"/>
                <w:sz w:val="24"/>
                <w:szCs w:val="24"/>
              </w:rPr>
            </w:pPr>
            <w:r>
              <w:rPr>
                <w:rFonts w:ascii="Times New Roman" w:hAnsi="Times New Roman"/>
                <w:color w:val="auto"/>
                <w:kern w:val="0"/>
                <w:sz w:val="24"/>
                <w:szCs w:val="24"/>
              </w:rPr>
              <w:t>简易案件理由（可以单选，也可以多选）</w:t>
            </w:r>
          </w:p>
        </w:tc>
        <w:tc>
          <w:tcPr>
            <w:tcW w:w="6949" w:type="dxa"/>
            <w:gridSpan w:val="2"/>
          </w:tcPr>
          <w:p>
            <w:pPr>
              <w:rPr>
                <w:rFonts w:ascii="Times New Roman" w:hAnsi="Times New Roman"/>
                <w:color w:val="auto"/>
                <w:kern w:val="0"/>
                <w:sz w:val="24"/>
                <w:szCs w:val="24"/>
              </w:rPr>
            </w:pPr>
            <w:r>
              <w:rPr>
                <w:rFonts w:hint="eastAsia" w:ascii="宋体" w:hAnsi="宋体" w:cs="宋体"/>
                <w:bCs/>
                <w:color w:val="auto"/>
              </w:rPr>
              <w:sym w:font="Wingdings" w:char="00FE"/>
            </w:r>
            <w:r>
              <w:rPr>
                <w:rFonts w:ascii="Times New Roman" w:hAnsi="Times New Roman"/>
                <w:color w:val="auto"/>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jc w:val="center"/>
              <w:rPr>
                <w:rFonts w:ascii="Times New Roman" w:hAnsi="Times New Roman"/>
                <w:color w:val="auto"/>
                <w:kern w:val="0"/>
                <w:sz w:val="24"/>
                <w:szCs w:val="24"/>
              </w:rPr>
            </w:pPr>
          </w:p>
        </w:tc>
        <w:tc>
          <w:tcPr>
            <w:tcW w:w="6949" w:type="dxa"/>
            <w:gridSpan w:val="2"/>
          </w:tcPr>
          <w:p>
            <w:pPr>
              <w:rPr>
                <w:rFonts w:ascii="Times New Roman" w:hAnsi="Times New Roman"/>
                <w:color w:val="auto"/>
                <w:kern w:val="0"/>
                <w:sz w:val="24"/>
                <w:szCs w:val="24"/>
              </w:rPr>
            </w:pPr>
            <w:r>
              <w:rPr>
                <w:rFonts w:hint="eastAsia" w:ascii="宋体" w:hAnsi="宋体" w:cs="宋体"/>
                <w:bCs/>
                <w:color w:val="auto"/>
              </w:rPr>
              <w:sym w:font="Wingdings" w:char="00FE"/>
            </w:r>
            <w:r>
              <w:rPr>
                <w:rFonts w:ascii="Times New Roman" w:hAnsi="Times New Roman"/>
                <w:color w:val="auto"/>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jc w:val="center"/>
              <w:rPr>
                <w:rFonts w:ascii="Times New Roman" w:hAnsi="Times New Roman"/>
                <w:color w:val="auto"/>
                <w:kern w:val="0"/>
                <w:sz w:val="24"/>
                <w:szCs w:val="24"/>
              </w:rPr>
            </w:pPr>
          </w:p>
        </w:tc>
        <w:tc>
          <w:tcPr>
            <w:tcW w:w="6949" w:type="dxa"/>
            <w:gridSpan w:val="2"/>
          </w:tcPr>
          <w:p>
            <w:pPr>
              <w:rPr>
                <w:rFonts w:ascii="Times New Roman" w:hAnsi="Times New Roman"/>
                <w:color w:val="auto"/>
                <w:kern w:val="0"/>
                <w:sz w:val="24"/>
                <w:szCs w:val="24"/>
              </w:rPr>
            </w:pPr>
            <w:r>
              <w:rPr>
                <w:rFonts w:hint="eastAsia" w:ascii="宋体" w:hAnsi="宋体" w:cs="宋体"/>
                <w:bCs/>
                <w:color w:val="auto"/>
              </w:rPr>
              <w:sym w:font="Wingdings" w:char="00A8"/>
            </w:r>
            <w:r>
              <w:rPr>
                <w:rFonts w:ascii="Times New Roman" w:hAnsi="Times New Roman"/>
                <w:color w:val="auto"/>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jc w:val="center"/>
              <w:rPr>
                <w:rFonts w:ascii="Times New Roman" w:hAnsi="Times New Roman"/>
                <w:color w:val="auto"/>
                <w:kern w:val="0"/>
                <w:sz w:val="24"/>
                <w:szCs w:val="24"/>
              </w:rPr>
            </w:pPr>
          </w:p>
        </w:tc>
        <w:tc>
          <w:tcPr>
            <w:tcW w:w="6949" w:type="dxa"/>
            <w:gridSpan w:val="2"/>
          </w:tcPr>
          <w:p>
            <w:pPr>
              <w:rPr>
                <w:rFonts w:ascii="Times New Roman" w:hAnsi="Times New Roman"/>
                <w:color w:val="auto"/>
                <w:kern w:val="0"/>
                <w:sz w:val="24"/>
                <w:szCs w:val="24"/>
              </w:rPr>
            </w:pPr>
            <w:r>
              <w:rPr>
                <w:rFonts w:hint="eastAsia" w:ascii="宋体" w:hAnsi="宋体" w:cs="宋体"/>
                <w:bCs/>
                <w:color w:val="auto"/>
              </w:rPr>
              <w:sym w:font="Wingdings" w:char="00A8"/>
            </w:r>
            <w:r>
              <w:rPr>
                <w:rFonts w:ascii="Times New Roman" w:hAnsi="Times New Roman"/>
                <w:color w:val="auto"/>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jc w:val="center"/>
              <w:rPr>
                <w:rFonts w:ascii="Times New Roman" w:hAnsi="Times New Roman"/>
                <w:color w:val="auto"/>
                <w:kern w:val="0"/>
                <w:sz w:val="24"/>
                <w:szCs w:val="24"/>
              </w:rPr>
            </w:pPr>
          </w:p>
        </w:tc>
        <w:tc>
          <w:tcPr>
            <w:tcW w:w="6949" w:type="dxa"/>
            <w:gridSpan w:val="2"/>
          </w:tcPr>
          <w:p>
            <w:pPr>
              <w:rPr>
                <w:rFonts w:ascii="Times New Roman" w:hAnsi="Times New Roman"/>
                <w:color w:val="auto"/>
                <w:kern w:val="0"/>
                <w:sz w:val="24"/>
                <w:szCs w:val="24"/>
              </w:rPr>
            </w:pPr>
            <w:r>
              <w:rPr>
                <w:rFonts w:hint="eastAsia" w:ascii="宋体" w:hAnsi="宋体" w:cs="宋体"/>
                <w:bCs/>
                <w:color w:val="auto"/>
              </w:rPr>
              <w:sym w:font="Wingdings" w:char="00A8"/>
            </w:r>
            <w:r>
              <w:rPr>
                <w:rFonts w:ascii="Times New Roman" w:hAnsi="Times New Roman"/>
                <w:color w:val="auto"/>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jc w:val="center"/>
              <w:rPr>
                <w:rFonts w:ascii="Times New Roman" w:hAnsi="Times New Roman"/>
                <w:color w:val="auto"/>
                <w:kern w:val="0"/>
                <w:sz w:val="24"/>
                <w:szCs w:val="24"/>
              </w:rPr>
            </w:pPr>
          </w:p>
        </w:tc>
        <w:tc>
          <w:tcPr>
            <w:tcW w:w="6949" w:type="dxa"/>
            <w:gridSpan w:val="2"/>
          </w:tcPr>
          <w:p>
            <w:pPr>
              <w:rPr>
                <w:rFonts w:ascii="Times New Roman" w:hAnsi="Times New Roman"/>
                <w:color w:val="auto"/>
                <w:kern w:val="0"/>
                <w:sz w:val="24"/>
                <w:szCs w:val="24"/>
              </w:rPr>
            </w:pPr>
            <w:r>
              <w:rPr>
                <w:rFonts w:hint="eastAsia" w:ascii="宋体" w:hAnsi="宋体" w:cs="宋体"/>
                <w:bCs/>
                <w:color w:val="auto"/>
              </w:rPr>
              <w:sym w:font="Wingdings" w:char="00A8"/>
            </w:r>
            <w:r>
              <w:rPr>
                <w:rFonts w:ascii="Times New Roman" w:hAnsi="Times New Roman"/>
                <w:color w:val="auto"/>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Times New Roman" w:hAnsi="Times New Roman"/>
                <w:color w:val="auto"/>
                <w:kern w:val="0"/>
                <w:sz w:val="24"/>
                <w:szCs w:val="24"/>
              </w:rPr>
            </w:pPr>
            <w:r>
              <w:rPr>
                <w:rFonts w:ascii="Times New Roman" w:hAnsi="Times New Roman"/>
                <w:color w:val="auto"/>
                <w:kern w:val="0"/>
                <w:sz w:val="24"/>
                <w:szCs w:val="24"/>
              </w:rPr>
              <w:t>备注</w:t>
            </w:r>
          </w:p>
        </w:tc>
        <w:tc>
          <w:tcPr>
            <w:tcW w:w="6949" w:type="dxa"/>
            <w:gridSpan w:val="2"/>
          </w:tcPr>
          <w:p>
            <w:pPr>
              <w:rPr>
                <w:rFonts w:ascii="宋体" w:hAnsi="宋体"/>
                <w:b/>
                <w:color w:val="auto"/>
                <w:sz w:val="24"/>
                <w:szCs w:val="24"/>
              </w:rPr>
            </w:pPr>
            <w:r>
              <w:rPr>
                <w:rFonts w:hint="eastAsia" w:ascii="宋体" w:hAnsi="宋体"/>
                <w:b/>
                <w:color w:val="auto"/>
                <w:sz w:val="24"/>
                <w:szCs w:val="24"/>
              </w:rPr>
              <w:t>横向重叠：</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2075"/>
              <w:gridCol w:w="2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jc w:val="center"/>
                    <w:rPr>
                      <w:rFonts w:ascii="宋体" w:hAnsi="宋体"/>
                      <w:b/>
                      <w:bCs/>
                      <w:color w:val="auto"/>
                      <w:kern w:val="0"/>
                      <w:sz w:val="24"/>
                      <w:szCs w:val="24"/>
                    </w:rPr>
                  </w:pPr>
                  <w:r>
                    <w:rPr>
                      <w:rFonts w:hint="eastAsia" w:ascii="宋体" w:hAnsi="宋体"/>
                      <w:color w:val="auto"/>
                      <w:kern w:val="0"/>
                      <w:sz w:val="24"/>
                      <w:szCs w:val="24"/>
                    </w:rPr>
                    <w:t>相关商品市场</w:t>
                  </w:r>
                </w:p>
              </w:tc>
              <w:tc>
                <w:tcPr>
                  <w:tcW w:w="2075" w:type="dxa"/>
                </w:tcPr>
                <w:p>
                  <w:pPr>
                    <w:jc w:val="center"/>
                    <w:rPr>
                      <w:rFonts w:ascii="宋体" w:hAnsi="宋体"/>
                      <w:b/>
                      <w:bCs/>
                      <w:color w:val="auto"/>
                      <w:kern w:val="0"/>
                      <w:sz w:val="24"/>
                      <w:szCs w:val="24"/>
                    </w:rPr>
                  </w:pPr>
                  <w:r>
                    <w:rPr>
                      <w:rFonts w:hint="eastAsia" w:ascii="宋体" w:hAnsi="宋体"/>
                      <w:color w:val="auto"/>
                      <w:kern w:val="0"/>
                      <w:sz w:val="24"/>
                      <w:szCs w:val="24"/>
                    </w:rPr>
                    <w:t>相关地域市场</w:t>
                  </w:r>
                </w:p>
              </w:tc>
              <w:tc>
                <w:tcPr>
                  <w:tcW w:w="2407" w:type="dxa"/>
                </w:tcPr>
                <w:p>
                  <w:pPr>
                    <w:jc w:val="center"/>
                    <w:rPr>
                      <w:rFonts w:ascii="宋体" w:hAnsi="宋体"/>
                      <w:b/>
                      <w:bCs/>
                      <w:color w:val="auto"/>
                      <w:kern w:val="0"/>
                      <w:sz w:val="24"/>
                      <w:szCs w:val="24"/>
                    </w:rPr>
                  </w:pPr>
                  <w:r>
                    <w:rPr>
                      <w:rFonts w:hint="eastAsia" w:ascii="宋体" w:hAnsi="宋体"/>
                      <w:color w:val="auto"/>
                      <w:kern w:val="0"/>
                      <w:sz w:val="24"/>
                      <w:szCs w:val="24"/>
                    </w:rPr>
                    <w:t>2</w:t>
                  </w:r>
                  <w:r>
                    <w:rPr>
                      <w:rFonts w:ascii="宋体" w:hAnsi="宋体"/>
                      <w:color w:val="auto"/>
                      <w:kern w:val="0"/>
                      <w:sz w:val="24"/>
                      <w:szCs w:val="24"/>
                    </w:rPr>
                    <w:t>021</w:t>
                  </w:r>
                  <w:r>
                    <w:rPr>
                      <w:rFonts w:hint="eastAsia" w:ascii="宋体" w:hAnsi="宋体"/>
                      <w:color w:val="auto"/>
                      <w:kern w:val="0"/>
                      <w:sz w:val="24"/>
                      <w:szCs w:val="24"/>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rPr>
                      <w:rFonts w:ascii="宋体" w:hAnsi="宋体"/>
                      <w:color w:val="auto"/>
                      <w:kern w:val="0"/>
                      <w:sz w:val="24"/>
                      <w:szCs w:val="24"/>
                    </w:rPr>
                  </w:pPr>
                  <w:r>
                    <w:rPr>
                      <w:rFonts w:hint="eastAsia" w:ascii="宋体" w:hAnsi="宋体"/>
                      <w:color w:val="auto"/>
                      <w:kern w:val="0"/>
                      <w:sz w:val="24"/>
                      <w:szCs w:val="24"/>
                    </w:rPr>
                    <w:t>集装箱堆场服务市场</w:t>
                  </w:r>
                </w:p>
              </w:tc>
              <w:tc>
                <w:tcPr>
                  <w:tcW w:w="2075" w:type="dxa"/>
                </w:tcPr>
                <w:p>
                  <w:pPr>
                    <w:rPr>
                      <w:rFonts w:ascii="宋体" w:hAnsi="宋体"/>
                      <w:color w:val="auto"/>
                      <w:kern w:val="0"/>
                      <w:sz w:val="24"/>
                      <w:szCs w:val="24"/>
                    </w:rPr>
                  </w:pPr>
                  <w:r>
                    <w:rPr>
                      <w:rFonts w:hint="eastAsia" w:ascii="宋体" w:hAnsi="宋体"/>
                      <w:color w:val="auto"/>
                      <w:kern w:val="0"/>
                      <w:sz w:val="24"/>
                      <w:szCs w:val="24"/>
                    </w:rPr>
                    <w:t>厦门港区</w:t>
                  </w:r>
                </w:p>
              </w:tc>
              <w:tc>
                <w:tcPr>
                  <w:tcW w:w="2407" w:type="dxa"/>
                </w:tcPr>
                <w:p>
                  <w:pPr>
                    <w:rPr>
                      <w:rFonts w:ascii="宋体" w:hAnsi="宋体"/>
                      <w:color w:val="auto"/>
                      <w:kern w:val="0"/>
                      <w:sz w:val="24"/>
                      <w:szCs w:val="24"/>
                    </w:rPr>
                  </w:pPr>
                  <w:r>
                    <w:rPr>
                      <w:rFonts w:hint="eastAsia" w:ascii="宋体" w:hAnsi="宋体"/>
                      <w:color w:val="auto"/>
                      <w:kern w:val="0"/>
                      <w:sz w:val="24"/>
                      <w:szCs w:val="24"/>
                    </w:rPr>
                    <w:t>中海码头：5</w:t>
                  </w:r>
                  <w:r>
                    <w:rPr>
                      <w:rFonts w:ascii="宋体" w:hAnsi="宋体"/>
                      <w:color w:val="auto"/>
                      <w:kern w:val="0"/>
                      <w:sz w:val="24"/>
                      <w:szCs w:val="24"/>
                    </w:rPr>
                    <w:t>-10%</w:t>
                  </w:r>
                </w:p>
                <w:p>
                  <w:pPr>
                    <w:rPr>
                      <w:rFonts w:ascii="宋体" w:hAnsi="宋体"/>
                      <w:color w:val="auto"/>
                      <w:kern w:val="0"/>
                      <w:sz w:val="24"/>
                      <w:szCs w:val="24"/>
                    </w:rPr>
                  </w:pPr>
                  <w:r>
                    <w:rPr>
                      <w:rFonts w:hint="eastAsia" w:ascii="宋体" w:hAnsi="宋体"/>
                      <w:color w:val="auto"/>
                      <w:kern w:val="0"/>
                      <w:sz w:val="24"/>
                      <w:szCs w:val="24"/>
                    </w:rPr>
                    <w:t>海投供应链公司：</w:t>
                  </w:r>
                  <w:r>
                    <w:rPr>
                      <w:rFonts w:ascii="宋体" w:hAnsi="宋体"/>
                      <w:color w:val="auto"/>
                      <w:kern w:val="0"/>
                      <w:sz w:val="24"/>
                      <w:szCs w:val="24"/>
                    </w:rPr>
                    <w:t>5-10%</w:t>
                  </w:r>
                </w:p>
                <w:p>
                  <w:pPr>
                    <w:rPr>
                      <w:rFonts w:ascii="宋体" w:hAnsi="宋体"/>
                      <w:color w:val="auto"/>
                      <w:kern w:val="0"/>
                      <w:sz w:val="24"/>
                      <w:szCs w:val="24"/>
                    </w:rPr>
                  </w:pPr>
                  <w:r>
                    <w:rPr>
                      <w:rFonts w:hint="eastAsia" w:ascii="宋体" w:hAnsi="宋体"/>
                      <w:color w:val="auto"/>
                      <w:kern w:val="0"/>
                      <w:sz w:val="24"/>
                      <w:szCs w:val="24"/>
                    </w:rPr>
                    <w:t>双方合计：1</w:t>
                  </w:r>
                  <w:r>
                    <w:rPr>
                      <w:rFonts w:ascii="宋体" w:hAnsi="宋体"/>
                      <w:color w:val="auto"/>
                      <w:kern w:val="0"/>
                      <w:sz w:val="24"/>
                      <w:szCs w:val="24"/>
                    </w:rP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rPr>
                      <w:rFonts w:ascii="宋体" w:hAnsi="宋体"/>
                      <w:color w:val="auto"/>
                      <w:kern w:val="0"/>
                      <w:sz w:val="24"/>
                      <w:szCs w:val="24"/>
                    </w:rPr>
                  </w:pPr>
                  <w:r>
                    <w:rPr>
                      <w:rFonts w:hint="eastAsia" w:ascii="宋体" w:hAnsi="宋体"/>
                      <w:color w:val="auto"/>
                      <w:kern w:val="0"/>
                      <w:sz w:val="24"/>
                      <w:szCs w:val="24"/>
                    </w:rPr>
                    <w:t>通用仓库的开发和租赁市场</w:t>
                  </w:r>
                </w:p>
              </w:tc>
              <w:tc>
                <w:tcPr>
                  <w:tcW w:w="2075" w:type="dxa"/>
                </w:tcPr>
                <w:p>
                  <w:pPr>
                    <w:rPr>
                      <w:rFonts w:hint="eastAsia" w:ascii="宋体" w:hAnsi="宋体" w:eastAsia="宋体"/>
                      <w:color w:val="auto"/>
                      <w:kern w:val="0"/>
                      <w:sz w:val="24"/>
                      <w:szCs w:val="24"/>
                      <w:lang w:eastAsia="zh-CN"/>
                    </w:rPr>
                  </w:pPr>
                  <w:r>
                    <w:rPr>
                      <w:rFonts w:hint="eastAsia" w:ascii="宋体" w:hAnsi="宋体"/>
                      <w:color w:val="auto"/>
                      <w:kern w:val="0"/>
                      <w:sz w:val="24"/>
                      <w:szCs w:val="24"/>
                    </w:rPr>
                    <w:t>厦门地区</w:t>
                  </w:r>
                </w:p>
              </w:tc>
              <w:tc>
                <w:tcPr>
                  <w:tcW w:w="2407" w:type="dxa"/>
                </w:tcPr>
                <w:p>
                  <w:pPr>
                    <w:rPr>
                      <w:rFonts w:ascii="宋体" w:hAnsi="宋体"/>
                      <w:color w:val="auto"/>
                      <w:kern w:val="0"/>
                      <w:sz w:val="24"/>
                      <w:szCs w:val="24"/>
                    </w:rPr>
                  </w:pPr>
                  <w:r>
                    <w:rPr>
                      <w:rFonts w:hint="eastAsia" w:ascii="宋体" w:hAnsi="宋体"/>
                      <w:color w:val="auto"/>
                      <w:kern w:val="0"/>
                      <w:sz w:val="24"/>
                      <w:szCs w:val="24"/>
                    </w:rPr>
                    <w:t>中海码头：</w:t>
                  </w:r>
                  <w:r>
                    <w:rPr>
                      <w:rFonts w:ascii="宋体" w:hAnsi="宋体"/>
                      <w:color w:val="auto"/>
                      <w:kern w:val="0"/>
                      <w:sz w:val="24"/>
                      <w:szCs w:val="24"/>
                    </w:rPr>
                    <w:t>0-5%</w:t>
                  </w:r>
                </w:p>
                <w:p>
                  <w:pPr>
                    <w:rPr>
                      <w:rFonts w:ascii="宋体" w:hAnsi="宋体"/>
                      <w:color w:val="auto"/>
                      <w:kern w:val="0"/>
                      <w:sz w:val="24"/>
                      <w:szCs w:val="24"/>
                    </w:rPr>
                  </w:pPr>
                  <w:r>
                    <w:rPr>
                      <w:rFonts w:hint="eastAsia" w:ascii="宋体" w:hAnsi="宋体"/>
                      <w:color w:val="auto"/>
                      <w:kern w:val="0"/>
                      <w:sz w:val="24"/>
                      <w:szCs w:val="24"/>
                    </w:rPr>
                    <w:t>海投供应链公司：10</w:t>
                  </w:r>
                  <w:r>
                    <w:rPr>
                      <w:rFonts w:ascii="宋体" w:hAnsi="宋体"/>
                      <w:color w:val="auto"/>
                      <w:kern w:val="0"/>
                      <w:sz w:val="24"/>
                      <w:szCs w:val="24"/>
                    </w:rPr>
                    <w:t>-15%</w:t>
                  </w:r>
                </w:p>
                <w:p>
                  <w:pPr>
                    <w:rPr>
                      <w:rFonts w:ascii="宋体" w:hAnsi="宋体"/>
                      <w:b/>
                      <w:bCs/>
                      <w:color w:val="auto"/>
                      <w:kern w:val="0"/>
                      <w:sz w:val="24"/>
                      <w:szCs w:val="24"/>
                    </w:rPr>
                  </w:pPr>
                  <w:r>
                    <w:rPr>
                      <w:rFonts w:hint="eastAsia" w:ascii="宋体" w:hAnsi="宋体"/>
                      <w:color w:val="auto"/>
                      <w:kern w:val="0"/>
                      <w:sz w:val="24"/>
                      <w:szCs w:val="24"/>
                    </w:rPr>
                    <w:t>双方合计：1</w:t>
                  </w:r>
                  <w:r>
                    <w:rPr>
                      <w:rFonts w:ascii="宋体" w:hAnsi="宋体"/>
                      <w:color w:val="auto"/>
                      <w:kern w:val="0"/>
                      <w:sz w:val="24"/>
                      <w:szCs w:val="24"/>
                    </w:rP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tcPr>
                <w:p>
                  <w:pPr>
                    <w:rPr>
                      <w:rFonts w:ascii="宋体" w:hAnsi="宋体"/>
                      <w:color w:val="auto"/>
                      <w:kern w:val="0"/>
                      <w:sz w:val="24"/>
                      <w:szCs w:val="24"/>
                    </w:rPr>
                  </w:pPr>
                  <w:r>
                    <w:rPr>
                      <w:rFonts w:hint="eastAsia" w:ascii="宋体" w:hAnsi="宋体"/>
                      <w:color w:val="auto"/>
                      <w:kern w:val="0"/>
                      <w:sz w:val="24"/>
                      <w:szCs w:val="24"/>
                      <w:lang w:eastAsia="zh-CN"/>
                    </w:rPr>
                    <w:t>国际铁路货运代理服务</w:t>
                  </w:r>
                  <w:r>
                    <w:rPr>
                      <w:rFonts w:hint="eastAsia" w:ascii="宋体" w:hAnsi="宋体"/>
                      <w:color w:val="auto"/>
                      <w:kern w:val="0"/>
                      <w:sz w:val="24"/>
                      <w:szCs w:val="24"/>
                    </w:rPr>
                    <w:t>市场</w:t>
                  </w:r>
                </w:p>
              </w:tc>
              <w:tc>
                <w:tcPr>
                  <w:tcW w:w="2075" w:type="dxa"/>
                </w:tcPr>
                <w:p>
                  <w:pPr>
                    <w:rPr>
                      <w:rFonts w:ascii="宋体" w:hAnsi="宋体"/>
                      <w:color w:val="auto"/>
                      <w:kern w:val="0"/>
                      <w:sz w:val="24"/>
                      <w:szCs w:val="24"/>
                    </w:rPr>
                  </w:pPr>
                  <w:r>
                    <w:rPr>
                      <w:rFonts w:hint="eastAsia" w:ascii="宋体" w:hAnsi="宋体"/>
                      <w:color w:val="auto"/>
                      <w:kern w:val="0"/>
                      <w:sz w:val="24"/>
                      <w:szCs w:val="24"/>
                    </w:rPr>
                    <w:t>中国境内</w:t>
                  </w:r>
                </w:p>
              </w:tc>
              <w:tc>
                <w:tcPr>
                  <w:tcW w:w="2407" w:type="dxa"/>
                </w:tcPr>
                <w:p>
                  <w:pPr>
                    <w:rPr>
                      <w:rFonts w:ascii="宋体" w:hAnsi="宋体"/>
                      <w:color w:val="auto"/>
                      <w:kern w:val="0"/>
                      <w:sz w:val="24"/>
                      <w:szCs w:val="24"/>
                    </w:rPr>
                  </w:pPr>
                  <w:r>
                    <w:rPr>
                      <w:rFonts w:hint="eastAsia" w:ascii="宋体" w:hAnsi="宋体"/>
                      <w:color w:val="auto"/>
                      <w:kern w:val="0"/>
                      <w:sz w:val="24"/>
                      <w:szCs w:val="24"/>
                    </w:rPr>
                    <w:t>中海码头：</w:t>
                  </w:r>
                  <w:r>
                    <w:rPr>
                      <w:rFonts w:ascii="宋体" w:hAnsi="宋体"/>
                      <w:color w:val="auto"/>
                      <w:kern w:val="0"/>
                      <w:sz w:val="24"/>
                      <w:szCs w:val="24"/>
                    </w:rPr>
                    <w:t>0-5%</w:t>
                  </w:r>
                </w:p>
                <w:p>
                  <w:pPr>
                    <w:rPr>
                      <w:rFonts w:ascii="宋体" w:hAnsi="宋体"/>
                      <w:color w:val="auto"/>
                      <w:kern w:val="0"/>
                      <w:sz w:val="24"/>
                      <w:szCs w:val="24"/>
                    </w:rPr>
                  </w:pPr>
                  <w:r>
                    <w:rPr>
                      <w:rFonts w:hint="eastAsia" w:ascii="宋体" w:hAnsi="宋体"/>
                      <w:color w:val="auto"/>
                      <w:kern w:val="0"/>
                      <w:sz w:val="24"/>
                      <w:szCs w:val="24"/>
                    </w:rPr>
                    <w:t>海投供应链公司：0</w:t>
                  </w:r>
                  <w:r>
                    <w:rPr>
                      <w:rFonts w:ascii="宋体" w:hAnsi="宋体"/>
                      <w:color w:val="auto"/>
                      <w:kern w:val="0"/>
                      <w:sz w:val="24"/>
                      <w:szCs w:val="24"/>
                    </w:rPr>
                    <w:t>-5%</w:t>
                  </w:r>
                </w:p>
                <w:p>
                  <w:pPr>
                    <w:rPr>
                      <w:rFonts w:ascii="宋体" w:hAnsi="宋体"/>
                      <w:color w:val="auto"/>
                      <w:kern w:val="0"/>
                      <w:sz w:val="24"/>
                      <w:szCs w:val="24"/>
                    </w:rPr>
                  </w:pPr>
                  <w:r>
                    <w:rPr>
                      <w:rFonts w:hint="eastAsia" w:ascii="宋体" w:hAnsi="宋体"/>
                      <w:color w:val="auto"/>
                      <w:kern w:val="0"/>
                      <w:sz w:val="24"/>
                      <w:szCs w:val="24"/>
                    </w:rPr>
                    <w:t>双方合计：0</w:t>
                  </w:r>
                  <w:r>
                    <w:rPr>
                      <w:rFonts w:ascii="宋体" w:hAnsi="宋体"/>
                      <w:color w:val="auto"/>
                      <w:kern w:val="0"/>
                      <w:sz w:val="24"/>
                      <w:szCs w:val="24"/>
                    </w:rPr>
                    <w:t>-5%</w:t>
                  </w:r>
                </w:p>
              </w:tc>
            </w:tr>
          </w:tbl>
          <w:p>
            <w:pPr>
              <w:rPr>
                <w:rFonts w:ascii="宋体" w:hAnsi="宋体"/>
                <w:color w:val="auto"/>
                <w:sz w:val="24"/>
                <w:szCs w:val="24"/>
              </w:rPr>
            </w:pPr>
          </w:p>
          <w:p>
            <w:pPr>
              <w:rPr>
                <w:rFonts w:ascii="宋体" w:hAnsi="宋体"/>
                <w:b/>
                <w:bCs/>
                <w:color w:val="auto"/>
                <w:sz w:val="24"/>
                <w:szCs w:val="24"/>
              </w:rPr>
            </w:pPr>
            <w:r>
              <w:rPr>
                <w:rFonts w:hint="eastAsia" w:ascii="宋体" w:hAnsi="宋体"/>
                <w:b/>
                <w:bCs/>
                <w:color w:val="auto"/>
                <w:sz w:val="24"/>
                <w:szCs w:val="24"/>
              </w:rPr>
              <w:t>纵向关联：</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pPr>
                    <w:rPr>
                      <w:rFonts w:ascii="宋体" w:hAnsi="宋体"/>
                      <w:color w:val="auto"/>
                      <w:sz w:val="24"/>
                      <w:szCs w:val="24"/>
                    </w:rPr>
                  </w:pPr>
                  <w:r>
                    <w:rPr>
                      <w:rFonts w:hint="eastAsia" w:ascii="宋体" w:hAnsi="宋体"/>
                      <w:color w:val="auto"/>
                      <w:sz w:val="24"/>
                      <w:szCs w:val="24"/>
                    </w:rPr>
                    <w:t>相关商品市场</w:t>
                  </w:r>
                </w:p>
              </w:tc>
              <w:tc>
                <w:tcPr>
                  <w:tcW w:w="2239" w:type="dxa"/>
                </w:tcPr>
                <w:p>
                  <w:pPr>
                    <w:rPr>
                      <w:rFonts w:ascii="宋体" w:hAnsi="宋体"/>
                      <w:color w:val="auto"/>
                      <w:sz w:val="24"/>
                      <w:szCs w:val="24"/>
                    </w:rPr>
                  </w:pPr>
                  <w:r>
                    <w:rPr>
                      <w:rFonts w:hint="eastAsia" w:ascii="宋体" w:hAnsi="宋体"/>
                      <w:color w:val="auto"/>
                      <w:sz w:val="24"/>
                      <w:szCs w:val="24"/>
                    </w:rPr>
                    <w:t>相关地域市场</w:t>
                  </w:r>
                </w:p>
              </w:tc>
              <w:tc>
                <w:tcPr>
                  <w:tcW w:w="2240" w:type="dxa"/>
                </w:tcPr>
                <w:p>
                  <w:pPr>
                    <w:rPr>
                      <w:rFonts w:ascii="宋体" w:hAnsi="宋体"/>
                      <w:color w:val="auto"/>
                      <w:sz w:val="24"/>
                      <w:szCs w:val="24"/>
                    </w:rPr>
                  </w:pPr>
                  <w:r>
                    <w:rPr>
                      <w:rFonts w:hint="eastAsia" w:ascii="宋体" w:hAnsi="宋体"/>
                      <w:color w:val="auto"/>
                      <w:sz w:val="24"/>
                      <w:szCs w:val="24"/>
                    </w:rPr>
                    <w:t>2</w:t>
                  </w:r>
                  <w:r>
                    <w:rPr>
                      <w:rFonts w:ascii="宋体" w:hAnsi="宋体"/>
                      <w:color w:val="auto"/>
                      <w:sz w:val="24"/>
                      <w:szCs w:val="24"/>
                    </w:rPr>
                    <w:t>021</w:t>
                  </w:r>
                  <w:r>
                    <w:rPr>
                      <w:rFonts w:hint="eastAsia" w:ascii="宋体" w:hAnsi="宋体"/>
                      <w:color w:val="auto"/>
                      <w:sz w:val="24"/>
                      <w:szCs w:val="24"/>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pPr>
                    <w:rPr>
                      <w:rFonts w:ascii="宋体" w:hAnsi="宋体"/>
                      <w:color w:val="auto"/>
                      <w:sz w:val="24"/>
                      <w:szCs w:val="24"/>
                    </w:rPr>
                  </w:pPr>
                  <w:r>
                    <w:rPr>
                      <w:rFonts w:hint="eastAsia" w:ascii="宋体" w:hAnsi="宋体"/>
                      <w:color w:val="auto"/>
                      <w:sz w:val="24"/>
                      <w:szCs w:val="24"/>
                    </w:rPr>
                    <w:t>上游：集装箱堆场服务市场</w:t>
                  </w:r>
                </w:p>
                <w:p>
                  <w:pPr>
                    <w:rPr>
                      <w:rFonts w:ascii="宋体" w:hAnsi="宋体"/>
                      <w:color w:val="auto"/>
                      <w:sz w:val="24"/>
                      <w:szCs w:val="24"/>
                    </w:rPr>
                  </w:pPr>
                  <w:r>
                    <w:rPr>
                      <w:rFonts w:hint="eastAsia" w:ascii="宋体" w:hAnsi="宋体"/>
                      <w:color w:val="auto"/>
                      <w:sz w:val="24"/>
                      <w:szCs w:val="24"/>
                    </w:rPr>
                    <w:t>下游：</w:t>
                  </w:r>
                  <w:r>
                    <w:rPr>
                      <w:rFonts w:hint="eastAsia" w:ascii="宋体" w:hAnsi="宋体"/>
                      <w:color w:val="auto"/>
                      <w:sz w:val="24"/>
                      <w:szCs w:val="24"/>
                      <w:lang w:eastAsia="zh-CN"/>
                    </w:rPr>
                    <w:t>国际铁路货运代理服务</w:t>
                  </w:r>
                  <w:r>
                    <w:rPr>
                      <w:rFonts w:hint="eastAsia" w:ascii="宋体" w:hAnsi="宋体"/>
                      <w:color w:val="auto"/>
                      <w:sz w:val="24"/>
                      <w:szCs w:val="24"/>
                    </w:rPr>
                    <w:t>市场</w:t>
                  </w:r>
                </w:p>
              </w:tc>
              <w:tc>
                <w:tcPr>
                  <w:tcW w:w="2239" w:type="dxa"/>
                </w:tcPr>
                <w:p>
                  <w:pPr>
                    <w:rPr>
                      <w:rFonts w:ascii="宋体" w:hAnsi="宋体"/>
                      <w:color w:val="auto"/>
                      <w:sz w:val="24"/>
                      <w:szCs w:val="24"/>
                    </w:rPr>
                  </w:pPr>
                  <w:r>
                    <w:rPr>
                      <w:rFonts w:hint="eastAsia" w:ascii="宋体" w:hAnsi="宋体"/>
                      <w:color w:val="auto"/>
                      <w:sz w:val="24"/>
                      <w:szCs w:val="24"/>
                    </w:rPr>
                    <w:t>上游：厦门港区</w:t>
                  </w:r>
                </w:p>
                <w:p>
                  <w:pPr>
                    <w:rPr>
                      <w:rFonts w:ascii="宋体" w:hAnsi="宋体"/>
                      <w:color w:val="auto"/>
                      <w:sz w:val="24"/>
                      <w:szCs w:val="24"/>
                    </w:rPr>
                  </w:pPr>
                  <w:r>
                    <w:rPr>
                      <w:rFonts w:hint="eastAsia" w:ascii="宋体" w:hAnsi="宋体"/>
                      <w:color w:val="auto"/>
                      <w:sz w:val="24"/>
                      <w:szCs w:val="24"/>
                    </w:rPr>
                    <w:t>下游：中国境</w:t>
                  </w:r>
                  <w:bookmarkStart w:id="0" w:name="_GoBack"/>
                  <w:bookmarkEnd w:id="0"/>
                  <w:r>
                    <w:rPr>
                      <w:rFonts w:hint="eastAsia" w:ascii="宋体" w:hAnsi="宋体"/>
                      <w:color w:val="auto"/>
                      <w:sz w:val="24"/>
                      <w:szCs w:val="24"/>
                    </w:rPr>
                    <w:t>内</w:t>
                  </w:r>
                </w:p>
              </w:tc>
              <w:tc>
                <w:tcPr>
                  <w:tcW w:w="2240" w:type="dxa"/>
                </w:tcPr>
                <w:p>
                  <w:pPr>
                    <w:rPr>
                      <w:rFonts w:ascii="宋体" w:hAnsi="宋体"/>
                      <w:color w:val="auto"/>
                      <w:sz w:val="24"/>
                      <w:szCs w:val="24"/>
                    </w:rPr>
                  </w:pPr>
                  <w:r>
                    <w:rPr>
                      <w:rFonts w:hint="eastAsia" w:ascii="宋体" w:hAnsi="宋体"/>
                      <w:color w:val="auto"/>
                      <w:sz w:val="24"/>
                      <w:szCs w:val="24"/>
                    </w:rPr>
                    <w:t>上游：集装箱堆场服务市场</w:t>
                  </w:r>
                </w:p>
                <w:p>
                  <w:pPr>
                    <w:rPr>
                      <w:rFonts w:ascii="宋体" w:hAnsi="宋体"/>
                      <w:color w:val="auto"/>
                      <w:sz w:val="24"/>
                      <w:szCs w:val="24"/>
                    </w:rPr>
                  </w:pPr>
                  <w:r>
                    <w:rPr>
                      <w:rFonts w:hint="eastAsia" w:ascii="宋体" w:hAnsi="宋体"/>
                      <w:color w:val="auto"/>
                      <w:sz w:val="24"/>
                      <w:szCs w:val="24"/>
                    </w:rPr>
                    <w:t>（1）中海码头：如上所述</w:t>
                  </w:r>
                </w:p>
                <w:p>
                  <w:pPr>
                    <w:rPr>
                      <w:rFonts w:hint="eastAsia" w:ascii="宋体" w:hAnsi="宋体"/>
                      <w:color w:val="auto"/>
                      <w:sz w:val="24"/>
                      <w:szCs w:val="24"/>
                    </w:rPr>
                  </w:pPr>
                  <w:r>
                    <w:rPr>
                      <w:rFonts w:hint="eastAsia" w:ascii="宋体" w:hAnsi="宋体"/>
                      <w:color w:val="auto"/>
                      <w:sz w:val="24"/>
                      <w:szCs w:val="24"/>
                    </w:rPr>
                    <w:t>（2）海投供应链公司：如上所述</w:t>
                  </w:r>
                </w:p>
                <w:p>
                  <w:pPr>
                    <w:rPr>
                      <w:rFonts w:ascii="宋体" w:hAnsi="宋体"/>
                      <w:color w:val="auto"/>
                      <w:sz w:val="24"/>
                      <w:szCs w:val="24"/>
                    </w:rPr>
                  </w:pPr>
                </w:p>
                <w:p>
                  <w:pPr>
                    <w:rPr>
                      <w:rFonts w:ascii="宋体" w:hAnsi="宋体"/>
                      <w:color w:val="auto"/>
                      <w:sz w:val="24"/>
                      <w:szCs w:val="24"/>
                    </w:rPr>
                  </w:pPr>
                  <w:r>
                    <w:rPr>
                      <w:rFonts w:hint="eastAsia" w:ascii="宋体" w:hAnsi="宋体"/>
                      <w:color w:val="auto"/>
                      <w:sz w:val="24"/>
                      <w:szCs w:val="24"/>
                    </w:rPr>
                    <w:t>下游：</w:t>
                  </w:r>
                  <w:r>
                    <w:rPr>
                      <w:rFonts w:hint="eastAsia" w:ascii="宋体" w:hAnsi="宋体"/>
                      <w:color w:val="auto"/>
                      <w:sz w:val="24"/>
                      <w:szCs w:val="24"/>
                      <w:lang w:eastAsia="zh-CN"/>
                    </w:rPr>
                    <w:t>国际铁路货运代理服务</w:t>
                  </w:r>
                  <w:r>
                    <w:rPr>
                      <w:rFonts w:hint="eastAsia" w:ascii="宋体" w:hAnsi="宋体"/>
                      <w:color w:val="auto"/>
                      <w:sz w:val="24"/>
                      <w:szCs w:val="24"/>
                    </w:rPr>
                    <w:t>市场</w:t>
                  </w:r>
                </w:p>
                <w:p>
                  <w:pPr>
                    <w:rPr>
                      <w:rFonts w:ascii="宋体" w:hAnsi="宋体"/>
                      <w:color w:val="auto"/>
                      <w:sz w:val="24"/>
                      <w:szCs w:val="24"/>
                    </w:rPr>
                  </w:pPr>
                  <w:r>
                    <w:rPr>
                      <w:rFonts w:hint="eastAsia" w:ascii="宋体" w:hAnsi="宋体"/>
                      <w:color w:val="auto"/>
                      <w:sz w:val="24"/>
                      <w:szCs w:val="24"/>
                    </w:rPr>
                    <w:t>（1）海投供应链公司：如上所述</w:t>
                  </w:r>
                </w:p>
                <w:p>
                  <w:pPr>
                    <w:rPr>
                      <w:rFonts w:ascii="宋体" w:hAnsi="宋体"/>
                      <w:color w:val="auto"/>
                      <w:sz w:val="24"/>
                      <w:szCs w:val="24"/>
                    </w:rPr>
                  </w:pPr>
                  <w:r>
                    <w:rPr>
                      <w:rFonts w:hint="eastAsia" w:ascii="宋体" w:hAnsi="宋体"/>
                      <w:color w:val="auto"/>
                      <w:sz w:val="24"/>
                      <w:szCs w:val="24"/>
                    </w:rPr>
                    <w:t>（2）中海码头：如上所述</w:t>
                  </w:r>
                </w:p>
                <w:p>
                  <w:pPr>
                    <w:rPr>
                      <w:rFonts w:hint="eastAsia" w:ascii="宋体" w:hAnsi="宋体"/>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pPr>
                    <w:rPr>
                      <w:rFonts w:ascii="宋体" w:hAnsi="宋体"/>
                      <w:color w:val="auto"/>
                      <w:sz w:val="24"/>
                      <w:szCs w:val="24"/>
                    </w:rPr>
                  </w:pPr>
                  <w:r>
                    <w:rPr>
                      <w:rFonts w:hint="eastAsia" w:ascii="宋体" w:hAnsi="宋体"/>
                      <w:color w:val="auto"/>
                      <w:sz w:val="24"/>
                      <w:szCs w:val="24"/>
                    </w:rPr>
                    <w:t>上游：</w:t>
                  </w:r>
                  <w:r>
                    <w:rPr>
                      <w:rFonts w:hint="eastAsia" w:ascii="宋体" w:hAnsi="宋体"/>
                      <w:color w:val="auto"/>
                      <w:kern w:val="0"/>
                      <w:sz w:val="24"/>
                      <w:szCs w:val="24"/>
                    </w:rPr>
                    <w:t>通用仓库的开发和租赁市场</w:t>
                  </w:r>
                </w:p>
                <w:p>
                  <w:pPr>
                    <w:rPr>
                      <w:rFonts w:ascii="宋体" w:hAnsi="宋体"/>
                      <w:color w:val="auto"/>
                      <w:sz w:val="24"/>
                      <w:szCs w:val="24"/>
                    </w:rPr>
                  </w:pPr>
                  <w:r>
                    <w:rPr>
                      <w:rFonts w:hint="eastAsia" w:ascii="宋体" w:hAnsi="宋体"/>
                      <w:color w:val="auto"/>
                      <w:sz w:val="24"/>
                      <w:szCs w:val="24"/>
                    </w:rPr>
                    <w:t>下游：</w:t>
                  </w:r>
                  <w:r>
                    <w:rPr>
                      <w:rFonts w:hint="eastAsia" w:ascii="宋体" w:hAnsi="宋体"/>
                      <w:color w:val="auto"/>
                      <w:sz w:val="24"/>
                      <w:szCs w:val="24"/>
                      <w:lang w:eastAsia="zh-CN"/>
                    </w:rPr>
                    <w:t>国际铁路货运代理服务</w:t>
                  </w:r>
                  <w:r>
                    <w:rPr>
                      <w:rFonts w:hint="eastAsia" w:ascii="宋体" w:hAnsi="宋体"/>
                      <w:color w:val="auto"/>
                      <w:sz w:val="24"/>
                      <w:szCs w:val="24"/>
                    </w:rPr>
                    <w:t>市场</w:t>
                  </w:r>
                </w:p>
              </w:tc>
              <w:tc>
                <w:tcPr>
                  <w:tcW w:w="2239" w:type="dxa"/>
                </w:tcPr>
                <w:p>
                  <w:pPr>
                    <w:rPr>
                      <w:rFonts w:ascii="宋体" w:hAnsi="宋体"/>
                      <w:color w:val="auto"/>
                      <w:sz w:val="24"/>
                      <w:szCs w:val="24"/>
                    </w:rPr>
                  </w:pPr>
                  <w:r>
                    <w:rPr>
                      <w:rFonts w:hint="eastAsia" w:ascii="宋体" w:hAnsi="宋体"/>
                      <w:color w:val="auto"/>
                      <w:sz w:val="24"/>
                      <w:szCs w:val="24"/>
                    </w:rPr>
                    <w:t>上游：厦门地区</w:t>
                  </w:r>
                </w:p>
                <w:p>
                  <w:pPr>
                    <w:rPr>
                      <w:rFonts w:ascii="宋体" w:hAnsi="宋体"/>
                      <w:color w:val="auto"/>
                      <w:sz w:val="24"/>
                      <w:szCs w:val="24"/>
                    </w:rPr>
                  </w:pPr>
                  <w:r>
                    <w:rPr>
                      <w:rFonts w:hint="eastAsia" w:ascii="宋体" w:hAnsi="宋体"/>
                      <w:color w:val="auto"/>
                      <w:sz w:val="24"/>
                      <w:szCs w:val="24"/>
                    </w:rPr>
                    <w:t>下游：中国境内</w:t>
                  </w:r>
                </w:p>
              </w:tc>
              <w:tc>
                <w:tcPr>
                  <w:tcW w:w="2240" w:type="dxa"/>
                </w:tcPr>
                <w:p>
                  <w:pPr>
                    <w:rPr>
                      <w:rFonts w:ascii="宋体" w:hAnsi="宋体"/>
                      <w:color w:val="auto"/>
                      <w:kern w:val="0"/>
                      <w:sz w:val="24"/>
                      <w:szCs w:val="24"/>
                    </w:rPr>
                  </w:pPr>
                  <w:r>
                    <w:rPr>
                      <w:rFonts w:hint="eastAsia" w:ascii="宋体" w:hAnsi="宋体"/>
                      <w:color w:val="auto"/>
                      <w:sz w:val="24"/>
                      <w:szCs w:val="24"/>
                    </w:rPr>
                    <w:t>上游：</w:t>
                  </w:r>
                  <w:r>
                    <w:rPr>
                      <w:rFonts w:hint="eastAsia" w:ascii="宋体" w:hAnsi="宋体"/>
                      <w:color w:val="auto"/>
                      <w:kern w:val="0"/>
                      <w:sz w:val="24"/>
                      <w:szCs w:val="24"/>
                    </w:rPr>
                    <w:t>通用仓库的开发和租赁市场</w:t>
                  </w:r>
                </w:p>
                <w:p>
                  <w:pPr>
                    <w:rPr>
                      <w:rFonts w:ascii="宋体" w:hAnsi="宋体"/>
                      <w:color w:val="auto"/>
                      <w:kern w:val="0"/>
                      <w:sz w:val="24"/>
                      <w:szCs w:val="24"/>
                    </w:rPr>
                  </w:pPr>
                  <w:r>
                    <w:rPr>
                      <w:rFonts w:hint="eastAsia" w:ascii="宋体" w:hAnsi="宋体"/>
                      <w:color w:val="auto"/>
                      <w:kern w:val="0"/>
                      <w:sz w:val="24"/>
                      <w:szCs w:val="24"/>
                    </w:rPr>
                    <w:t>（1）中海码头：如上所述</w:t>
                  </w:r>
                </w:p>
                <w:p>
                  <w:pPr>
                    <w:rPr>
                      <w:rFonts w:hint="eastAsia" w:ascii="宋体" w:hAnsi="宋体"/>
                      <w:color w:val="auto"/>
                      <w:sz w:val="24"/>
                      <w:szCs w:val="24"/>
                    </w:rPr>
                  </w:pPr>
                  <w:r>
                    <w:rPr>
                      <w:rFonts w:hint="eastAsia" w:ascii="宋体" w:hAnsi="宋体"/>
                      <w:color w:val="auto"/>
                      <w:sz w:val="24"/>
                      <w:szCs w:val="24"/>
                    </w:rPr>
                    <w:t>（2）海投供应链公司：如上所述</w:t>
                  </w:r>
                </w:p>
                <w:p>
                  <w:pPr>
                    <w:rPr>
                      <w:rFonts w:ascii="宋体" w:hAnsi="宋体"/>
                      <w:color w:val="auto"/>
                      <w:sz w:val="24"/>
                      <w:szCs w:val="24"/>
                    </w:rPr>
                  </w:pPr>
                </w:p>
                <w:p>
                  <w:pPr>
                    <w:rPr>
                      <w:rFonts w:ascii="宋体" w:hAnsi="宋体"/>
                      <w:color w:val="auto"/>
                      <w:sz w:val="24"/>
                      <w:szCs w:val="24"/>
                    </w:rPr>
                  </w:pPr>
                  <w:r>
                    <w:rPr>
                      <w:rFonts w:hint="eastAsia" w:ascii="宋体" w:hAnsi="宋体"/>
                      <w:color w:val="auto"/>
                      <w:sz w:val="24"/>
                      <w:szCs w:val="24"/>
                    </w:rPr>
                    <w:t>下游：</w:t>
                  </w:r>
                  <w:r>
                    <w:rPr>
                      <w:rFonts w:hint="eastAsia" w:ascii="宋体" w:hAnsi="宋体"/>
                      <w:color w:val="auto"/>
                      <w:sz w:val="24"/>
                      <w:szCs w:val="24"/>
                      <w:lang w:eastAsia="zh-CN"/>
                    </w:rPr>
                    <w:t>国际铁路货运代理服务</w:t>
                  </w:r>
                  <w:r>
                    <w:rPr>
                      <w:rFonts w:hint="eastAsia" w:ascii="宋体" w:hAnsi="宋体"/>
                      <w:color w:val="auto"/>
                      <w:sz w:val="24"/>
                      <w:szCs w:val="24"/>
                    </w:rPr>
                    <w:t>市场</w:t>
                  </w:r>
                </w:p>
                <w:p>
                  <w:pPr>
                    <w:rPr>
                      <w:rFonts w:ascii="宋体" w:hAnsi="宋体"/>
                      <w:color w:val="auto"/>
                      <w:sz w:val="24"/>
                      <w:szCs w:val="24"/>
                    </w:rPr>
                  </w:pPr>
                  <w:r>
                    <w:rPr>
                      <w:rFonts w:hint="eastAsia" w:ascii="宋体" w:hAnsi="宋体"/>
                      <w:color w:val="auto"/>
                      <w:sz w:val="24"/>
                      <w:szCs w:val="24"/>
                    </w:rPr>
                    <w:t>（1）海投供应链公司：如上所述</w:t>
                  </w:r>
                </w:p>
                <w:p>
                  <w:pPr>
                    <w:rPr>
                      <w:rFonts w:ascii="宋体" w:hAnsi="宋体"/>
                      <w:color w:val="auto"/>
                      <w:sz w:val="24"/>
                      <w:szCs w:val="24"/>
                    </w:rPr>
                  </w:pPr>
                  <w:r>
                    <w:rPr>
                      <w:rFonts w:hint="eastAsia" w:ascii="宋体" w:hAnsi="宋体"/>
                      <w:color w:val="auto"/>
                      <w:sz w:val="24"/>
                      <w:szCs w:val="24"/>
                    </w:rPr>
                    <w:t>（2）中海码头：如上所述</w:t>
                  </w:r>
                </w:p>
                <w:p>
                  <w:pPr>
                    <w:rPr>
                      <w:rFonts w:hint="eastAsia" w:ascii="宋体" w:hAnsi="宋体"/>
                      <w:color w:val="auto"/>
                      <w:sz w:val="24"/>
                      <w:szCs w:val="24"/>
                    </w:rPr>
                  </w:pPr>
                </w:p>
              </w:tc>
            </w:tr>
          </w:tbl>
          <w:p>
            <w:pPr>
              <w:rPr>
                <w:rFonts w:ascii="宋体" w:hAnsi="宋体"/>
                <w:color w:val="auto"/>
                <w:sz w:val="24"/>
                <w:szCs w:val="24"/>
              </w:rPr>
            </w:pPr>
          </w:p>
        </w:tc>
      </w:tr>
    </w:tbl>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阿里巴巴普惠体"/>
    <w:panose1 w:val="00000000000000000000"/>
    <w:charset w:val="86"/>
    <w:family w:val="auto"/>
    <w:pitch w:val="default"/>
    <w:sig w:usb0="00000000" w:usb1="00000000" w:usb2="00000000" w:usb3="00000000" w:csb0="00000000" w:csb1="00000000"/>
  </w:font>
  <w:font w:name="等线">
    <w:altName w:val="阿里巴巴普惠体"/>
    <w:panose1 w:val="00000000000000000000"/>
    <w:charset w:val="00"/>
    <w:family w:val="auto"/>
    <w:pitch w:val="default"/>
    <w:sig w:usb0="00000000" w:usb1="00000000" w:usb2="00000000" w:usb3="00000000" w:csb0="00000000" w:csb1="00000000"/>
  </w:font>
  <w:font w:name="阿里巴巴普惠体">
    <w:panose1 w:val="00020600040101010101"/>
    <w:charset w:val="86"/>
    <w:family w:val="auto"/>
    <w:pitch w:val="default"/>
    <w:sig w:usb0="A00002FF" w:usb1="7ACF7CFB" w:usb2="0000001E" w:usb3="00000000" w:csb0="000400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中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ayMDC1MLQ0NjCwMDUwMjVW0lEKTi0uzszPAykwqgUApsR2sCwAAAA="/>
  </w:docVars>
  <w:rsids>
    <w:rsidRoot w:val="00CB00DF"/>
    <w:rsid w:val="00023B91"/>
    <w:rsid w:val="00037065"/>
    <w:rsid w:val="000A411C"/>
    <w:rsid w:val="000D751C"/>
    <w:rsid w:val="000D7EBA"/>
    <w:rsid w:val="000E59A8"/>
    <w:rsid w:val="001164CD"/>
    <w:rsid w:val="00155717"/>
    <w:rsid w:val="00176047"/>
    <w:rsid w:val="001837A3"/>
    <w:rsid w:val="00184F2C"/>
    <w:rsid w:val="00191595"/>
    <w:rsid w:val="001A6FCC"/>
    <w:rsid w:val="001E0763"/>
    <w:rsid w:val="001F5695"/>
    <w:rsid w:val="00201546"/>
    <w:rsid w:val="0022639A"/>
    <w:rsid w:val="00233398"/>
    <w:rsid w:val="002D2D2B"/>
    <w:rsid w:val="002E11FE"/>
    <w:rsid w:val="002F2682"/>
    <w:rsid w:val="00334FA2"/>
    <w:rsid w:val="003425F4"/>
    <w:rsid w:val="00367E88"/>
    <w:rsid w:val="003B2899"/>
    <w:rsid w:val="003C0AEB"/>
    <w:rsid w:val="003D1928"/>
    <w:rsid w:val="003D4494"/>
    <w:rsid w:val="003D603A"/>
    <w:rsid w:val="004172C6"/>
    <w:rsid w:val="00422898"/>
    <w:rsid w:val="0042652E"/>
    <w:rsid w:val="004C63B4"/>
    <w:rsid w:val="004F4BBB"/>
    <w:rsid w:val="004F6284"/>
    <w:rsid w:val="004F7688"/>
    <w:rsid w:val="00506BB6"/>
    <w:rsid w:val="00534FB9"/>
    <w:rsid w:val="005671AD"/>
    <w:rsid w:val="00583211"/>
    <w:rsid w:val="0059257C"/>
    <w:rsid w:val="00594F6F"/>
    <w:rsid w:val="005A2C6C"/>
    <w:rsid w:val="005B0015"/>
    <w:rsid w:val="005C715E"/>
    <w:rsid w:val="005F0987"/>
    <w:rsid w:val="005F378B"/>
    <w:rsid w:val="005F6048"/>
    <w:rsid w:val="0060331D"/>
    <w:rsid w:val="00611EAF"/>
    <w:rsid w:val="006131DA"/>
    <w:rsid w:val="00617241"/>
    <w:rsid w:val="006467D8"/>
    <w:rsid w:val="00664C9B"/>
    <w:rsid w:val="0069295E"/>
    <w:rsid w:val="00694FB7"/>
    <w:rsid w:val="006A1D6F"/>
    <w:rsid w:val="006A531B"/>
    <w:rsid w:val="006B6C49"/>
    <w:rsid w:val="006B744C"/>
    <w:rsid w:val="006F7693"/>
    <w:rsid w:val="00710140"/>
    <w:rsid w:val="007115CB"/>
    <w:rsid w:val="00712899"/>
    <w:rsid w:val="0075605A"/>
    <w:rsid w:val="007800FB"/>
    <w:rsid w:val="00795257"/>
    <w:rsid w:val="007F2275"/>
    <w:rsid w:val="00800FED"/>
    <w:rsid w:val="00803BC1"/>
    <w:rsid w:val="0083444B"/>
    <w:rsid w:val="00863049"/>
    <w:rsid w:val="00883C6E"/>
    <w:rsid w:val="008A295E"/>
    <w:rsid w:val="008F144A"/>
    <w:rsid w:val="008F35CE"/>
    <w:rsid w:val="00915F0F"/>
    <w:rsid w:val="00936DC2"/>
    <w:rsid w:val="009532DF"/>
    <w:rsid w:val="00977C40"/>
    <w:rsid w:val="00992B45"/>
    <w:rsid w:val="00997019"/>
    <w:rsid w:val="009A5029"/>
    <w:rsid w:val="009B2D48"/>
    <w:rsid w:val="009D38D5"/>
    <w:rsid w:val="009F6606"/>
    <w:rsid w:val="00A11771"/>
    <w:rsid w:val="00A121C9"/>
    <w:rsid w:val="00A53F26"/>
    <w:rsid w:val="00A66AC4"/>
    <w:rsid w:val="00AA0CC5"/>
    <w:rsid w:val="00AD041B"/>
    <w:rsid w:val="00AD32B5"/>
    <w:rsid w:val="00AD3CC8"/>
    <w:rsid w:val="00AE0D82"/>
    <w:rsid w:val="00AF02D9"/>
    <w:rsid w:val="00B07030"/>
    <w:rsid w:val="00B105B7"/>
    <w:rsid w:val="00B16AFE"/>
    <w:rsid w:val="00B252C2"/>
    <w:rsid w:val="00B2760B"/>
    <w:rsid w:val="00B43488"/>
    <w:rsid w:val="00B54BD8"/>
    <w:rsid w:val="00B65DD5"/>
    <w:rsid w:val="00B70D4E"/>
    <w:rsid w:val="00B77B68"/>
    <w:rsid w:val="00B95C76"/>
    <w:rsid w:val="00B97E12"/>
    <w:rsid w:val="00BB3373"/>
    <w:rsid w:val="00BD10B6"/>
    <w:rsid w:val="00BF416E"/>
    <w:rsid w:val="00C07076"/>
    <w:rsid w:val="00C30E68"/>
    <w:rsid w:val="00C706BB"/>
    <w:rsid w:val="00CB00DF"/>
    <w:rsid w:val="00D049E6"/>
    <w:rsid w:val="00D23729"/>
    <w:rsid w:val="00D248C7"/>
    <w:rsid w:val="00D635F9"/>
    <w:rsid w:val="00D716B9"/>
    <w:rsid w:val="00D73C72"/>
    <w:rsid w:val="00D93C83"/>
    <w:rsid w:val="00DB7772"/>
    <w:rsid w:val="00DF4CDC"/>
    <w:rsid w:val="00E0592B"/>
    <w:rsid w:val="00E15D85"/>
    <w:rsid w:val="00E31738"/>
    <w:rsid w:val="00E4146F"/>
    <w:rsid w:val="00E50A0E"/>
    <w:rsid w:val="00E57AFF"/>
    <w:rsid w:val="00E57CD6"/>
    <w:rsid w:val="00E62D90"/>
    <w:rsid w:val="00E71D7F"/>
    <w:rsid w:val="00E747C4"/>
    <w:rsid w:val="00E863F3"/>
    <w:rsid w:val="00E86786"/>
    <w:rsid w:val="00EB4058"/>
    <w:rsid w:val="00EC5153"/>
    <w:rsid w:val="00ED2F80"/>
    <w:rsid w:val="00ED7A22"/>
    <w:rsid w:val="00EE0F05"/>
    <w:rsid w:val="00F13D05"/>
    <w:rsid w:val="00F1624E"/>
    <w:rsid w:val="00F32F8A"/>
    <w:rsid w:val="00F37F84"/>
    <w:rsid w:val="00F60185"/>
    <w:rsid w:val="00F64968"/>
    <w:rsid w:val="00F77E25"/>
    <w:rsid w:val="00F80A54"/>
    <w:rsid w:val="00F810AA"/>
    <w:rsid w:val="00F926ED"/>
    <w:rsid w:val="00FA12CC"/>
    <w:rsid w:val="00FB43EC"/>
    <w:rsid w:val="00FB6B40"/>
    <w:rsid w:val="00FC7AEC"/>
    <w:rsid w:val="00FF103E"/>
    <w:rsid w:val="43E6289A"/>
    <w:rsid w:val="7DFB45D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semiHidden/>
    <w:unhideWhenUsed/>
    <w:qFormat/>
    <w:uiPriority w:val="99"/>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3"/>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paragraph" w:styleId="11">
    <w:name w:val="List Paragraph"/>
    <w:basedOn w:val="1"/>
    <w:qFormat/>
    <w:uiPriority w:val="34"/>
    <w:pPr>
      <w:ind w:firstLine="420" w:firstLineChars="200"/>
    </w:pPr>
  </w:style>
  <w:style w:type="character" w:customStyle="1" w:styleId="12">
    <w:name w:val="批注文字 字符"/>
    <w:basedOn w:val="9"/>
    <w:link w:val="2"/>
    <w:semiHidden/>
    <w:qFormat/>
    <w:uiPriority w:val="99"/>
    <w:rPr>
      <w:rFonts w:ascii="Calibri" w:hAnsi="Calibri" w:eastAsia="宋体" w:cs="Times New Roman"/>
    </w:rPr>
  </w:style>
  <w:style w:type="character" w:customStyle="1" w:styleId="13">
    <w:name w:val="批注主题 字符"/>
    <w:basedOn w:val="12"/>
    <w:link w:val="6"/>
    <w:semiHidden/>
    <w:qFormat/>
    <w:uiPriority w:val="99"/>
    <w:rPr>
      <w:rFonts w:ascii="Calibri" w:hAnsi="Calibri" w:eastAsia="宋体" w:cs="Times New Roman"/>
      <w:b/>
      <w:bCs/>
    </w:rPr>
  </w:style>
  <w:style w:type="paragraph" w:customStyle="1" w:styleId="14">
    <w:name w:val="修订1"/>
    <w:hidden/>
    <w:semiHidden/>
    <w:qFormat/>
    <w:uiPriority w:val="99"/>
    <w:rPr>
      <w:rFonts w:ascii="Calibri" w:hAnsi="Calibri" w:eastAsia="宋体" w:cs="Times New Roman"/>
      <w:kern w:val="2"/>
      <w:sz w:val="21"/>
      <w:szCs w:val="22"/>
      <w:lang w:val="en-US" w:eastAsia="zh-CN" w:bidi="ar-SA"/>
    </w:rPr>
  </w:style>
  <w:style w:type="character" w:customStyle="1" w:styleId="15">
    <w:name w:val="页眉 字符"/>
    <w:basedOn w:val="9"/>
    <w:link w:val="5"/>
    <w:qFormat/>
    <w:uiPriority w:val="99"/>
    <w:rPr>
      <w:rFonts w:ascii="Calibri" w:hAnsi="Calibri" w:eastAsia="宋体" w:cs="Times New Roman"/>
      <w:sz w:val="18"/>
      <w:szCs w:val="18"/>
    </w:rPr>
  </w:style>
  <w:style w:type="character" w:customStyle="1" w:styleId="16">
    <w:name w:val="页脚 字符"/>
    <w:basedOn w:val="9"/>
    <w:link w:val="4"/>
    <w:qFormat/>
    <w:uiPriority w:val="99"/>
    <w:rPr>
      <w:rFonts w:ascii="Calibri" w:hAnsi="Calibri" w:eastAsia="宋体" w:cs="Times New Roman"/>
      <w:sz w:val="18"/>
      <w:szCs w:val="18"/>
    </w:rPr>
  </w:style>
  <w:style w:type="character" w:customStyle="1" w:styleId="17">
    <w:name w:val="批注框文本 字符"/>
    <w:basedOn w:val="9"/>
    <w:link w:val="3"/>
    <w:semiHidden/>
    <w:qFormat/>
    <w:uiPriority w:val="99"/>
    <w:rPr>
      <w:rFonts w:ascii="Calibri" w:hAnsi="Calibri" w:eastAsia="宋体" w:cs="Times New Roman"/>
      <w:kern w:val="2"/>
      <w:sz w:val="18"/>
      <w:szCs w:val="18"/>
    </w:rPr>
  </w:style>
  <w:style w:type="paragraph" w:customStyle="1" w:styleId="18">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197</Words>
  <Characters>1125</Characters>
  <Lines>9</Lines>
  <Paragraphs>2</Paragraphs>
  <TotalTime>174</TotalTime>
  <ScaleCrop>false</ScaleCrop>
  <LinksUpToDate>false</LinksUpToDate>
  <CharactersWithSpaces>1320</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2022-11-01T16:04:00Z</dcterms:created>
  <dc:creator>陈媚</dc:creator>
  <cp:lastModifiedBy>oa</cp:lastModifiedBy>
  <dcterms:modified xsi:type="dcterms:W3CDTF">2023-01-20T12:24:51Z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