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440" w:lineRule="exact"/>
        <w:jc w:val="center"/>
        <w:rPr>
          <w:rFonts w:ascii="宋体" w:hAnsi="宋体"/>
          <w:b/>
          <w:bCs/>
          <w:sz w:val="32"/>
          <w:szCs w:val="32"/>
        </w:rPr>
      </w:pPr>
      <w:r>
        <w:rPr>
          <w:rFonts w:hint="eastAsia" w:ascii="宋体" w:hAnsi="宋体"/>
          <w:b/>
          <w:bCs/>
          <w:sz w:val="32"/>
          <w:szCs w:val="32"/>
        </w:rPr>
        <w:t>经营者集中简易案件公示表</w:t>
      </w:r>
    </w:p>
    <w:p>
      <w:pPr>
        <w:spacing w:line="440" w:lineRule="exact"/>
        <w:ind w:firstLine="970" w:firstLineChars="302"/>
        <w:rPr>
          <w:rFonts w:ascii="宋体" w:hAnsi="宋体"/>
          <w:b/>
          <w:bCs/>
          <w:sz w:val="32"/>
          <w:szCs w:val="32"/>
        </w:rPr>
      </w:pPr>
    </w:p>
    <w:tbl>
      <w:tblPr>
        <w:tblStyle w:val="5"/>
        <w:tblW w:w="864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5"/>
        <w:gridCol w:w="1842"/>
        <w:gridCol w:w="524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1" w:hRule="atLeast"/>
        </w:trPr>
        <w:tc>
          <w:tcPr>
            <w:tcW w:w="1555" w:type="dxa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333333"/>
                <w:kern w:val="0"/>
                <w:sz w:val="24"/>
                <w:szCs w:val="24"/>
              </w:rPr>
              <w:t>案件名称</w:t>
            </w:r>
          </w:p>
        </w:tc>
        <w:tc>
          <w:tcPr>
            <w:tcW w:w="7087" w:type="dxa"/>
            <w:gridSpan w:val="2"/>
            <w:vAlign w:val="center"/>
          </w:tcPr>
          <w:p>
            <w:pPr>
              <w:spacing w:line="500" w:lineRule="exact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新大正物业集团股份有限公司收购云南沧恒投资有限公司股权案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68" w:hRule="atLeast"/>
        </w:trPr>
        <w:tc>
          <w:tcPr>
            <w:tcW w:w="1555" w:type="dxa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333333"/>
                <w:kern w:val="0"/>
                <w:sz w:val="24"/>
                <w:szCs w:val="24"/>
              </w:rPr>
              <w:t>交易概况</w:t>
            </w:r>
          </w:p>
          <w:p>
            <w:pPr>
              <w:spacing w:line="500" w:lineRule="exact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333333"/>
                <w:kern w:val="0"/>
                <w:sz w:val="24"/>
                <w:szCs w:val="24"/>
              </w:rPr>
              <w:t>（限200字内）</w:t>
            </w:r>
          </w:p>
        </w:tc>
        <w:tc>
          <w:tcPr>
            <w:tcW w:w="7087" w:type="dxa"/>
            <w:gridSpan w:val="2"/>
            <w:vAlign w:val="center"/>
          </w:tcPr>
          <w:p>
            <w:pPr>
              <w:adjustRightInd w:val="0"/>
              <w:snapToGrid w:val="0"/>
              <w:spacing w:line="360" w:lineRule="auto"/>
              <w:jc w:val="left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新大正物业集团股份有限公司（“新大正”）与13名自然人签订股权转让协议，合计收购云南沧恒投资有限公司（“沧恒投资”）80%的股份。沧恒投资为持股平台公司，其子公司主要从事物业管理服务。交易前，13名自然人合计持有沧恒投资100%股份，无</w:t>
            </w:r>
            <w:r>
              <w:rPr>
                <w:rFonts w:hint="eastAsia" w:ascii="宋体" w:hAnsi="宋体" w:cs="宋体"/>
                <w:kern w:val="0"/>
                <w:sz w:val="24"/>
                <w:szCs w:val="24"/>
                <w:lang w:eastAsia="zh-CN"/>
              </w:rPr>
              <w:t>最终</w:t>
            </w: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控制人。交易后，新大正将持有沧恒投资80%的股份，单独控制沧恒投资。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53" w:hRule="atLeast"/>
        </w:trPr>
        <w:tc>
          <w:tcPr>
            <w:tcW w:w="1555" w:type="dxa"/>
            <w:vMerge w:val="restart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333333"/>
                <w:kern w:val="0"/>
                <w:sz w:val="24"/>
                <w:szCs w:val="24"/>
              </w:rPr>
              <w:t>参与集中的</w:t>
            </w:r>
          </w:p>
          <w:p>
            <w:pPr>
              <w:spacing w:line="500" w:lineRule="exact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333333"/>
                <w:kern w:val="0"/>
                <w:sz w:val="24"/>
                <w:szCs w:val="24"/>
              </w:rPr>
              <w:t>经营者简介</w:t>
            </w:r>
            <w:r>
              <w:rPr>
                <w:rFonts w:hint="eastAsia" w:ascii="宋体" w:hAnsi="宋体" w:cs="宋体"/>
                <w:bCs/>
                <w:color w:val="000000"/>
              </w:rPr>
              <w:t>（每个限100字以内）</w:t>
            </w:r>
          </w:p>
        </w:tc>
        <w:tc>
          <w:tcPr>
            <w:tcW w:w="1842" w:type="dxa"/>
            <w:vAlign w:val="center"/>
          </w:tcPr>
          <w:p>
            <w:pPr>
              <w:spacing w:line="500" w:lineRule="exact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1、新大正</w:t>
            </w:r>
          </w:p>
        </w:tc>
        <w:tc>
          <w:tcPr>
            <w:tcW w:w="5245" w:type="dxa"/>
            <w:vAlign w:val="center"/>
          </w:tcPr>
          <w:p>
            <w:pPr>
              <w:spacing w:line="500" w:lineRule="exact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公司于1998年12月10日成立于重庆市，为深圳交易所上市公司，作为独立第三方物业服务企业，主要为各类城市公共建筑提供物业管理服务，最终控制人为自然人，主要从事物业管理服务。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69" w:hRule="atLeast"/>
        </w:trPr>
        <w:tc>
          <w:tcPr>
            <w:tcW w:w="1555" w:type="dxa"/>
            <w:vMerge w:val="continue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1842" w:type="dxa"/>
            <w:vAlign w:val="center"/>
          </w:tcPr>
          <w:p>
            <w:pPr>
              <w:spacing w:line="500" w:lineRule="exact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333333"/>
                <w:kern w:val="0"/>
                <w:sz w:val="24"/>
                <w:szCs w:val="24"/>
              </w:rPr>
              <w:t>2、</w:t>
            </w: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沧恒投资</w:t>
            </w:r>
          </w:p>
        </w:tc>
        <w:tc>
          <w:tcPr>
            <w:tcW w:w="5245" w:type="dxa"/>
            <w:vAlign w:val="center"/>
          </w:tcPr>
          <w:p>
            <w:pPr>
              <w:spacing w:line="500" w:lineRule="exact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公司于2013年9月3日成立于云南省昆明市，为持股平台公司，其子公司主要从事物业管理服务，无</w:t>
            </w:r>
            <w:r>
              <w:rPr>
                <w:rFonts w:hint="eastAsia" w:ascii="宋体" w:hAnsi="宋体" w:cs="宋体"/>
                <w:kern w:val="0"/>
                <w:sz w:val="24"/>
                <w:szCs w:val="24"/>
                <w:lang w:eastAsia="zh-CN"/>
              </w:rPr>
              <w:t>最终</w:t>
            </w: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控制人</w:t>
            </w:r>
            <w:r>
              <w:rPr>
                <w:rFonts w:hint="eastAsia" w:ascii="宋体" w:hAnsi="宋体" w:cs="宋体"/>
                <w:color w:val="333333"/>
                <w:kern w:val="0"/>
                <w:sz w:val="24"/>
                <w:szCs w:val="24"/>
              </w:rPr>
              <w:t>。</w:t>
            </w:r>
            <w:bookmarkStart w:id="0" w:name="_GoBack"/>
            <w:bookmarkEnd w:id="0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9" w:hRule="atLeast"/>
        </w:trPr>
        <w:tc>
          <w:tcPr>
            <w:tcW w:w="1555" w:type="dxa"/>
            <w:vMerge w:val="restart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333333"/>
                <w:kern w:val="0"/>
                <w:sz w:val="24"/>
                <w:szCs w:val="24"/>
              </w:rPr>
              <w:t>简易案件理由（可以单选，也可以多选）</w:t>
            </w:r>
          </w:p>
        </w:tc>
        <w:tc>
          <w:tcPr>
            <w:tcW w:w="7087" w:type="dxa"/>
            <w:gridSpan w:val="2"/>
            <w:vAlign w:val="center"/>
          </w:tcPr>
          <w:p>
            <w:pPr>
              <w:spacing w:line="500" w:lineRule="exact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sym w:font="Wingdings" w:char="F0FE"/>
            </w: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1.在同一相关市场，所有参与集中的经营者所占市场份额之和小于15%。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555" w:type="dxa"/>
            <w:vMerge w:val="continue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7087" w:type="dxa"/>
            <w:gridSpan w:val="2"/>
            <w:vAlign w:val="center"/>
          </w:tcPr>
          <w:p>
            <w:pPr>
              <w:spacing w:line="500" w:lineRule="exact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□2.存在上下游关系的参与集中的经营者，在上下游市场所占的市场份额均小于25%。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555" w:type="dxa"/>
            <w:vMerge w:val="continue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7087" w:type="dxa"/>
            <w:gridSpan w:val="2"/>
            <w:vAlign w:val="center"/>
          </w:tcPr>
          <w:p>
            <w:pPr>
              <w:spacing w:line="500" w:lineRule="exact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□3.不在同一相关市场、也不存在上下游关系的参与集中的经营者，在与交易有关的每个市场所占的份额均小于25%。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0" w:hRule="atLeast"/>
        </w:trPr>
        <w:tc>
          <w:tcPr>
            <w:tcW w:w="1555" w:type="dxa"/>
            <w:vMerge w:val="continue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7087" w:type="dxa"/>
            <w:gridSpan w:val="2"/>
            <w:vAlign w:val="center"/>
          </w:tcPr>
          <w:p>
            <w:pPr>
              <w:spacing w:line="500" w:lineRule="exact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□4.参与集中的经营者在中国境外设立合营企业，合营企业不在中国境内从事经济活动。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1555" w:type="dxa"/>
            <w:vMerge w:val="continue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7087" w:type="dxa"/>
            <w:gridSpan w:val="2"/>
            <w:vAlign w:val="center"/>
          </w:tcPr>
          <w:p>
            <w:pPr>
              <w:spacing w:line="500" w:lineRule="exact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□5.参与集中的经营者收购境外企业股权或资产的，该境外企业不在中国境内从事经济活动。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555" w:type="dxa"/>
            <w:vMerge w:val="continue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7087" w:type="dxa"/>
            <w:gridSpan w:val="2"/>
            <w:vAlign w:val="center"/>
          </w:tcPr>
          <w:p>
            <w:pPr>
              <w:spacing w:line="500" w:lineRule="exact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□6.由两个以上的经营者共同控制的合营企业，通过集中被其中一个或一个以上经营者控制。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20" w:hRule="atLeast"/>
        </w:trPr>
        <w:tc>
          <w:tcPr>
            <w:tcW w:w="1555" w:type="dxa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333333"/>
                <w:kern w:val="0"/>
                <w:sz w:val="24"/>
                <w:szCs w:val="24"/>
              </w:rPr>
              <w:t>备注</w:t>
            </w:r>
          </w:p>
        </w:tc>
        <w:tc>
          <w:tcPr>
            <w:tcW w:w="7087" w:type="dxa"/>
            <w:gridSpan w:val="2"/>
            <w:vAlign w:val="center"/>
          </w:tcPr>
          <w:p>
            <w:pPr>
              <w:pStyle w:val="2"/>
              <w:adjustRightInd w:val="0"/>
              <w:snapToGrid w:val="0"/>
              <w:spacing w:after="0"/>
              <w:rPr>
                <w:rFonts w:ascii="宋体" w:hAnsi="宋体" w:cs="宋体"/>
                <w:b/>
                <w:color w:val="000000"/>
                <w:lang w:eastAsia="zh-CN"/>
              </w:rPr>
            </w:pPr>
            <w:r>
              <w:rPr>
                <w:rFonts w:hint="eastAsia" w:ascii="宋体" w:hAnsi="宋体" w:cs="宋体"/>
                <w:b/>
                <w:color w:val="000000"/>
                <w:lang w:eastAsia="zh-CN"/>
              </w:rPr>
              <w:t>横向重叠：</w:t>
            </w:r>
          </w:p>
          <w:p>
            <w:pPr>
              <w:spacing w:line="500" w:lineRule="exact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2021年昆明市商业物业管理服务市场</w:t>
            </w:r>
          </w:p>
          <w:p>
            <w:pPr>
              <w:spacing w:line="500" w:lineRule="exact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新大正：0-5% ，沧恒投资：0-5%，双方合计：0-5%</w:t>
            </w:r>
          </w:p>
          <w:p>
            <w:pPr>
              <w:spacing w:line="500" w:lineRule="exact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2021年</w:t>
            </w:r>
            <w:r>
              <w:rPr>
                <w:rFonts w:hint="eastAsia" w:ascii="宋体" w:hAnsi="宋体" w:cs="宋体"/>
                <w:kern w:val="0"/>
                <w:sz w:val="24"/>
                <w:szCs w:val="24"/>
                <w:lang w:eastAsia="zh-CN"/>
              </w:rPr>
              <w:t>曲靖</w:t>
            </w: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市商业物业管理服务市场</w:t>
            </w:r>
          </w:p>
          <w:p>
            <w:pPr>
              <w:spacing w:line="500" w:lineRule="exact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新大正：0-5% ，沧恒投资：0-5%，双方合计：0-5%</w:t>
            </w:r>
          </w:p>
        </w:tc>
      </w:tr>
    </w:tbl>
    <w:p>
      <w:pPr>
        <w:snapToGrid w:val="0"/>
        <w:spacing w:line="240" w:lineRule="exact"/>
        <w:jc w:val="left"/>
        <w:rPr>
          <w:rFonts w:ascii="宋体" w:hAnsi="宋体"/>
          <w:sz w:val="24"/>
          <w:szCs w:val="24"/>
        </w:rPr>
      </w:pPr>
    </w:p>
    <w:p>
      <w:pPr>
        <w:rPr>
          <w:rFonts w:ascii="宋体" w:hAnsi="宋体"/>
          <w:sz w:val="24"/>
          <w:szCs w:val="24"/>
        </w:rPr>
      </w:pPr>
    </w:p>
    <w:p>
      <w:pPr>
        <w:rPr>
          <w:rFonts w:ascii="宋体" w:hAnsi="宋体"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implified Arabic">
    <w:panose1 w:val="02020603050405020304"/>
    <w:charset w:val="B2"/>
    <w:family w:val="roman"/>
    <w:pitch w:val="default"/>
    <w:sig w:usb0="00002003" w:usb1="00000000" w:usb2="00000000" w:usb3="00000000" w:csb0="00000041" w:csb1="200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WMwZDhlOWJjMzNiZmIzOTJmMDNmMDk1ZWE3NjYwYmIifQ=="/>
  </w:docVars>
  <w:rsids>
    <w:rsidRoot w:val="00CB00DF"/>
    <w:rsid w:val="00037065"/>
    <w:rsid w:val="000D7EBA"/>
    <w:rsid w:val="001006BB"/>
    <w:rsid w:val="00115145"/>
    <w:rsid w:val="001164CD"/>
    <w:rsid w:val="00151A2C"/>
    <w:rsid w:val="001521D3"/>
    <w:rsid w:val="00155717"/>
    <w:rsid w:val="001837A3"/>
    <w:rsid w:val="001B4E79"/>
    <w:rsid w:val="001B5799"/>
    <w:rsid w:val="001E7EDA"/>
    <w:rsid w:val="002071A1"/>
    <w:rsid w:val="003C0AEB"/>
    <w:rsid w:val="003C4077"/>
    <w:rsid w:val="00497FC9"/>
    <w:rsid w:val="004F7688"/>
    <w:rsid w:val="00520860"/>
    <w:rsid w:val="005436A1"/>
    <w:rsid w:val="00592425"/>
    <w:rsid w:val="005B570D"/>
    <w:rsid w:val="00611FDF"/>
    <w:rsid w:val="006467D8"/>
    <w:rsid w:val="00652AE4"/>
    <w:rsid w:val="006A531B"/>
    <w:rsid w:val="006F7693"/>
    <w:rsid w:val="00710140"/>
    <w:rsid w:val="007F2275"/>
    <w:rsid w:val="00915F0F"/>
    <w:rsid w:val="009532DF"/>
    <w:rsid w:val="00997019"/>
    <w:rsid w:val="009A2529"/>
    <w:rsid w:val="009A5029"/>
    <w:rsid w:val="009D38D5"/>
    <w:rsid w:val="00A14924"/>
    <w:rsid w:val="00A53F26"/>
    <w:rsid w:val="00AA0CC5"/>
    <w:rsid w:val="00AB5E29"/>
    <w:rsid w:val="00AE09D9"/>
    <w:rsid w:val="00AF3683"/>
    <w:rsid w:val="00B16AFE"/>
    <w:rsid w:val="00B65DD5"/>
    <w:rsid w:val="00BB6F38"/>
    <w:rsid w:val="00BD10B6"/>
    <w:rsid w:val="00BD5EAF"/>
    <w:rsid w:val="00BF1995"/>
    <w:rsid w:val="00BF5F7C"/>
    <w:rsid w:val="00C07076"/>
    <w:rsid w:val="00C82A4B"/>
    <w:rsid w:val="00CB00DF"/>
    <w:rsid w:val="00D0168E"/>
    <w:rsid w:val="00D73C72"/>
    <w:rsid w:val="00E04776"/>
    <w:rsid w:val="00E0592B"/>
    <w:rsid w:val="00E31738"/>
    <w:rsid w:val="00E62782"/>
    <w:rsid w:val="00E72CBC"/>
    <w:rsid w:val="00E86786"/>
    <w:rsid w:val="00ED2F80"/>
    <w:rsid w:val="00F1281F"/>
    <w:rsid w:val="00F1624E"/>
    <w:rsid w:val="00F304C1"/>
    <w:rsid w:val="00F32F8A"/>
    <w:rsid w:val="00F6010F"/>
    <w:rsid w:val="00F77865"/>
    <w:rsid w:val="00F810AA"/>
    <w:rsid w:val="00FB43EC"/>
    <w:rsid w:val="00FB6B40"/>
    <w:rsid w:val="2B6A0A67"/>
    <w:rsid w:val="375D30B1"/>
    <w:rsid w:val="475F1C0D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link w:val="8"/>
    <w:semiHidden/>
    <w:unhideWhenUsed/>
    <w:qFormat/>
    <w:uiPriority w:val="0"/>
    <w:pPr>
      <w:widowControl/>
      <w:spacing w:after="240"/>
    </w:pPr>
    <w:rPr>
      <w:rFonts w:ascii="Times New Roman" w:hAnsi="Times New Roman" w:cs="Simplified Arabic"/>
      <w:kern w:val="0"/>
      <w:sz w:val="24"/>
      <w:szCs w:val="24"/>
      <w:lang w:val="en-GB" w:eastAsia="en-GB" w:bidi="ar-AE"/>
    </w:rPr>
  </w:style>
  <w:style w:type="paragraph" w:styleId="3">
    <w:name w:val="footer"/>
    <w:basedOn w:val="1"/>
    <w:link w:val="10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8">
    <w:name w:val="正文文本 字符"/>
    <w:basedOn w:val="7"/>
    <w:link w:val="2"/>
    <w:semiHidden/>
    <w:qFormat/>
    <w:uiPriority w:val="0"/>
    <w:rPr>
      <w:rFonts w:ascii="Times New Roman" w:hAnsi="Times New Roman" w:eastAsia="宋体" w:cs="Simplified Arabic"/>
      <w:kern w:val="0"/>
      <w:sz w:val="24"/>
      <w:szCs w:val="24"/>
      <w:lang w:val="en-GB" w:eastAsia="en-GB" w:bidi="ar-AE"/>
    </w:rPr>
  </w:style>
  <w:style w:type="character" w:customStyle="1" w:styleId="9">
    <w:name w:val="页眉 字符"/>
    <w:basedOn w:val="7"/>
    <w:link w:val="4"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0">
    <w:name w:val="页脚 字符"/>
    <w:basedOn w:val="7"/>
    <w:link w:val="3"/>
    <w:qFormat/>
    <w:uiPriority w:val="99"/>
    <w:rPr>
      <w:rFonts w:ascii="Calibri" w:hAnsi="Calibri" w:eastAsia="宋体" w:cs="Times New Roman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668</Words>
  <Characters>716</Characters>
  <Lines>7</Lines>
  <Paragraphs>2</Paragraphs>
  <TotalTime>1</TotalTime>
  <ScaleCrop>false</ScaleCrop>
  <LinksUpToDate>false</LinksUpToDate>
  <CharactersWithSpaces>717</CharactersWithSpaces>
  <Application>WPS Office_11.1.0.14018_F1E327BC-269C-435d-A152-05C5408002CA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2023-01-12T07:52:00Z</dcterms:created>
  <dc:creator>陈媚</dc:creator>
  <cp:lastModifiedBy>偶入园林</cp:lastModifiedBy>
  <dcterms:modified xsi:type="dcterms:W3CDTF">2023-03-23T01:00:45Z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2052-11.1.0.14018</vt:lpwstr>
  </property>
  <property fmtid="{D5CDD505-2E9C-101B-9397-08002B2CF9AE}" pid="3" name="ICV">
    <vt:lpwstr>2A462A6B4A1E42FE91B639C01921E2A1_12</vt:lpwstr>
  </property>
</Properties>
</file>