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eastAsia="黑体"/>
          <w:bCs/>
          <w:sz w:val="36"/>
          <w:szCs w:val="36"/>
        </w:rPr>
      </w:pPr>
      <w:r>
        <w:rPr>
          <w:rFonts w:hint="eastAsia" w:ascii="黑体" w:hAnsi="黑体" w:eastAsia="黑体" w:cs="黑体"/>
          <w:bCs/>
          <w:sz w:val="36"/>
          <w:szCs w:val="36"/>
          <w:lang w:val="en-US" w:eastAsia="zh-CN"/>
        </w:rPr>
        <w:t xml:space="preserve">   </w:t>
      </w:r>
      <w:r>
        <w:rPr>
          <w:rFonts w:eastAsia="黑体"/>
          <w:bCs/>
          <w:sz w:val="36"/>
          <w:szCs w:val="36"/>
        </w:rPr>
        <w:t>经营者集中简易案件公示表</w:t>
      </w:r>
    </w:p>
    <w:tbl>
      <w:tblPr>
        <w:tblStyle w:val="4"/>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746"/>
        <w:gridCol w:w="59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noWrap w:val="0"/>
            <w:vAlign w:val="center"/>
          </w:tcPr>
          <w:p>
            <w:pPr>
              <w:pStyle w:val="3"/>
              <w:adjustRightInd w:val="0"/>
              <w:snapToGrid w:val="0"/>
              <w:spacing w:after="0"/>
              <w:rPr>
                <w:rFonts w:cs="Times New Roman"/>
                <w:bCs/>
                <w:color w:val="000000"/>
                <w:sz w:val="21"/>
                <w:szCs w:val="21"/>
                <w:lang w:val="en-US"/>
              </w:rPr>
            </w:pPr>
            <w:r>
              <w:rPr>
                <w:rFonts w:cs="Times New Roman"/>
                <w:bCs/>
                <w:color w:val="000000"/>
                <w:sz w:val="21"/>
                <w:szCs w:val="21"/>
              </w:rPr>
              <w:t>案件名称</w:t>
            </w:r>
          </w:p>
        </w:tc>
        <w:tc>
          <w:tcPr>
            <w:tcW w:w="7700" w:type="dxa"/>
            <w:gridSpan w:val="2"/>
            <w:noWrap w:val="0"/>
            <w:vAlign w:val="center"/>
          </w:tcPr>
          <w:p>
            <w:pPr>
              <w:widowControl w:val="0"/>
              <w:spacing w:after="0"/>
              <w:rPr>
                <w:bCs/>
                <w:color w:val="000000"/>
                <w:sz w:val="21"/>
                <w:szCs w:val="21"/>
                <w:lang w:val="en-US"/>
              </w:rPr>
            </w:pPr>
            <w:r>
              <w:rPr>
                <w:rFonts w:hint="eastAsia"/>
                <w:kern w:val="2"/>
                <w:sz w:val="21"/>
                <w:szCs w:val="21"/>
                <w:lang w:val="en-US" w:bidi="ar-SA"/>
              </w:rPr>
              <w:t>华润置地控股有限公司与广州南沙交通投资集团有限公司等经营者新设合营企业案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noWrap w:val="0"/>
            <w:vAlign w:val="center"/>
          </w:tcPr>
          <w:p>
            <w:pPr>
              <w:pStyle w:val="3"/>
              <w:adjustRightInd w:val="0"/>
              <w:snapToGrid w:val="0"/>
              <w:spacing w:after="0"/>
              <w:rPr>
                <w:rFonts w:cs="Times New Roman"/>
                <w:bCs/>
                <w:color w:val="000000"/>
                <w:sz w:val="21"/>
                <w:szCs w:val="21"/>
                <w:lang w:val="en-US" w:eastAsia="zh-CN"/>
              </w:rPr>
            </w:pPr>
            <w:r>
              <w:rPr>
                <w:rFonts w:cs="Times New Roman"/>
                <w:bCs/>
                <w:color w:val="000000"/>
                <w:sz w:val="21"/>
                <w:szCs w:val="21"/>
                <w:lang w:eastAsia="zh-CN"/>
              </w:rPr>
              <w:t>交易概况（限200字内）</w:t>
            </w:r>
          </w:p>
        </w:tc>
        <w:tc>
          <w:tcPr>
            <w:tcW w:w="7700" w:type="dxa"/>
            <w:gridSpan w:val="2"/>
            <w:noWrap w:val="0"/>
            <w:vAlign w:val="center"/>
          </w:tcPr>
          <w:p>
            <w:pPr>
              <w:adjustRightInd w:val="0"/>
              <w:snapToGrid w:val="0"/>
              <w:spacing w:after="0"/>
              <w:rPr>
                <w:rFonts w:hint="eastAsia"/>
                <w:bCs/>
                <w:color w:val="000000"/>
                <w:sz w:val="21"/>
                <w:szCs w:val="21"/>
                <w:lang w:val="en-US"/>
              </w:rPr>
            </w:pPr>
            <w:r>
              <w:rPr>
                <w:rFonts w:hint="eastAsia"/>
                <w:bCs/>
                <w:color w:val="000000"/>
                <w:sz w:val="21"/>
                <w:szCs w:val="21"/>
                <w:lang w:val="en-US"/>
              </w:rPr>
              <w:t>华润置地控股有限公司（“</w:t>
            </w:r>
            <w:r>
              <w:rPr>
                <w:rFonts w:hint="eastAsia"/>
                <w:b/>
                <w:bCs/>
                <w:color w:val="000000"/>
                <w:sz w:val="21"/>
                <w:szCs w:val="21"/>
                <w:lang w:val="en-US"/>
              </w:rPr>
              <w:t>华润置地控股</w:t>
            </w:r>
            <w:r>
              <w:rPr>
                <w:rFonts w:hint="eastAsia"/>
                <w:bCs/>
                <w:color w:val="000000"/>
                <w:sz w:val="21"/>
                <w:szCs w:val="21"/>
                <w:lang w:val="en-US"/>
              </w:rPr>
              <w:t>”）与广州南沙交通投资集团有限公司（“</w:t>
            </w:r>
            <w:r>
              <w:rPr>
                <w:rFonts w:hint="eastAsia"/>
                <w:b/>
                <w:bCs/>
                <w:color w:val="000000"/>
                <w:sz w:val="21"/>
                <w:szCs w:val="21"/>
                <w:lang w:val="en-US"/>
              </w:rPr>
              <w:t>南沙交投</w:t>
            </w:r>
            <w:r>
              <w:rPr>
                <w:rFonts w:hint="eastAsia"/>
                <w:bCs/>
                <w:color w:val="000000"/>
                <w:sz w:val="21"/>
                <w:szCs w:val="21"/>
                <w:lang w:val="en-US"/>
              </w:rPr>
              <w:t>”）、广州市城投发展控股有限公司（“</w:t>
            </w:r>
            <w:r>
              <w:rPr>
                <w:rFonts w:hint="eastAsia"/>
                <w:b/>
                <w:bCs/>
                <w:color w:val="000000"/>
                <w:sz w:val="21"/>
                <w:szCs w:val="21"/>
                <w:lang w:val="en-US"/>
              </w:rPr>
              <w:t>城投发展</w:t>
            </w:r>
            <w:r>
              <w:rPr>
                <w:rFonts w:hint="eastAsia"/>
                <w:bCs/>
                <w:color w:val="000000"/>
                <w:sz w:val="21"/>
                <w:szCs w:val="21"/>
                <w:lang w:val="en-US"/>
              </w:rPr>
              <w:t>”）签署协议</w:t>
            </w:r>
            <w:r>
              <w:rPr>
                <w:rFonts w:hint="eastAsia"/>
                <w:bCs/>
                <w:color w:val="000000"/>
                <w:sz w:val="21"/>
                <w:szCs w:val="21"/>
                <w:lang w:val="en-US" w:eastAsia="zh-CN"/>
              </w:rPr>
              <w:t>，</w:t>
            </w:r>
            <w:r>
              <w:rPr>
                <w:rFonts w:hint="eastAsia"/>
                <w:bCs/>
                <w:color w:val="000000"/>
                <w:sz w:val="21"/>
                <w:szCs w:val="21"/>
                <w:lang w:val="en-US"/>
              </w:rPr>
              <w:t>新设合营企业，</w:t>
            </w:r>
            <w:r>
              <w:rPr>
                <w:rFonts w:hint="eastAsia"/>
                <w:bCs/>
                <w:color w:val="000000"/>
                <w:sz w:val="21"/>
                <w:szCs w:val="21"/>
                <w:lang w:val="en-US" w:eastAsia="zh-CN"/>
              </w:rPr>
              <w:t>主要从事</w:t>
            </w:r>
            <w:r>
              <w:rPr>
                <w:rFonts w:hint="eastAsia"/>
                <w:bCs/>
                <w:color w:val="000000"/>
                <w:sz w:val="21"/>
                <w:szCs w:val="21"/>
                <w:lang w:val="en-US"/>
              </w:rPr>
              <w:t>相关目标项目地块的开发、建设和运营业务。</w:t>
            </w:r>
          </w:p>
          <w:p>
            <w:pPr>
              <w:adjustRightInd w:val="0"/>
              <w:snapToGrid w:val="0"/>
              <w:spacing w:after="0"/>
              <w:rPr>
                <w:rFonts w:hint="eastAsia"/>
                <w:bCs/>
                <w:color w:val="000000"/>
                <w:sz w:val="21"/>
                <w:szCs w:val="21"/>
              </w:rPr>
            </w:pPr>
            <w:r>
              <w:rPr>
                <w:rFonts w:hint="eastAsia"/>
                <w:bCs/>
                <w:color w:val="000000"/>
                <w:sz w:val="21"/>
                <w:szCs w:val="21"/>
                <w:lang w:val="en-US"/>
              </w:rPr>
              <w:t>交易后，华润置地控股、南沙交投及城投发展将分别持有合营企业70%、20%及10%的股份，华润置地控股、南沙交投及城投发展将对合营企业实施共同控制。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940" w:type="dxa"/>
            <w:vMerge w:val="restart"/>
            <w:shd w:val="clear" w:color="auto" w:fill="D9D9D9"/>
            <w:noWrap w:val="0"/>
            <w:vAlign w:val="center"/>
          </w:tcPr>
          <w:p>
            <w:pPr>
              <w:pStyle w:val="3"/>
              <w:adjustRightInd w:val="0"/>
              <w:snapToGrid w:val="0"/>
              <w:spacing w:after="0"/>
              <w:rPr>
                <w:rFonts w:cs="Times New Roman"/>
                <w:bCs/>
                <w:color w:val="000000"/>
                <w:sz w:val="21"/>
                <w:szCs w:val="21"/>
                <w:lang w:val="en-US" w:eastAsia="zh-CN"/>
              </w:rPr>
            </w:pPr>
            <w:r>
              <w:rPr>
                <w:rFonts w:cs="Times New Roman"/>
                <w:bCs/>
                <w:color w:val="000000"/>
                <w:sz w:val="21"/>
                <w:szCs w:val="21"/>
                <w:lang w:eastAsia="zh-CN"/>
              </w:rPr>
              <w:t>参与集中的经营者简介（每个限</w:t>
            </w:r>
            <w:r>
              <w:rPr>
                <w:rFonts w:cs="Times New Roman"/>
                <w:bCs/>
                <w:color w:val="000000"/>
                <w:sz w:val="21"/>
                <w:szCs w:val="21"/>
                <w:lang w:val="en-US" w:eastAsia="zh-CN"/>
              </w:rPr>
              <w:t>100字以内</w:t>
            </w:r>
            <w:r>
              <w:rPr>
                <w:rFonts w:cs="Times New Roman"/>
                <w:bCs/>
                <w:color w:val="000000"/>
                <w:sz w:val="21"/>
                <w:szCs w:val="21"/>
                <w:lang w:eastAsia="zh-CN"/>
              </w:rPr>
              <w:t>）</w:t>
            </w:r>
          </w:p>
        </w:tc>
        <w:tc>
          <w:tcPr>
            <w:tcW w:w="1746" w:type="dxa"/>
            <w:noWrap w:val="0"/>
            <w:vAlign w:val="center"/>
          </w:tcPr>
          <w:p>
            <w:pPr>
              <w:pStyle w:val="3"/>
              <w:adjustRightInd w:val="0"/>
              <w:snapToGrid w:val="0"/>
              <w:spacing w:after="0"/>
              <w:rPr>
                <w:rFonts w:cs="Times New Roman"/>
                <w:bCs/>
                <w:color w:val="000000"/>
                <w:sz w:val="21"/>
                <w:szCs w:val="21"/>
                <w:lang w:eastAsia="zh-CN"/>
              </w:rPr>
            </w:pPr>
            <w:r>
              <w:rPr>
                <w:rFonts w:hint="eastAsia"/>
                <w:bCs/>
                <w:color w:val="000000"/>
                <w:sz w:val="21"/>
                <w:szCs w:val="21"/>
                <w:lang w:val="en-US" w:eastAsia="zh-CN"/>
              </w:rPr>
              <w:t>1</w:t>
            </w:r>
            <w:r>
              <w:rPr>
                <w:bCs/>
                <w:color w:val="000000"/>
                <w:sz w:val="21"/>
                <w:szCs w:val="21"/>
                <w:lang w:val="en-US" w:eastAsia="zh-CN"/>
              </w:rPr>
              <w:t xml:space="preserve">. </w:t>
            </w:r>
            <w:r>
              <w:rPr>
                <w:rFonts w:hint="eastAsia"/>
                <w:bCs/>
                <w:color w:val="000000"/>
                <w:sz w:val="21"/>
                <w:szCs w:val="21"/>
                <w:lang w:val="en-US" w:eastAsia="zh-CN"/>
              </w:rPr>
              <w:t>华润置地控股</w:t>
            </w:r>
          </w:p>
        </w:tc>
        <w:tc>
          <w:tcPr>
            <w:tcW w:w="5954" w:type="dxa"/>
            <w:noWrap w:val="0"/>
            <w:vAlign w:val="center"/>
          </w:tcPr>
          <w:p>
            <w:pPr>
              <w:adjustRightInd w:val="0"/>
              <w:snapToGrid w:val="0"/>
              <w:spacing w:after="0"/>
              <w:rPr>
                <w:sz w:val="21"/>
                <w:szCs w:val="21"/>
                <w:lang w:val="en-US"/>
              </w:rPr>
            </w:pPr>
            <w:r>
              <w:rPr>
                <w:rFonts w:hint="eastAsia"/>
                <w:sz w:val="21"/>
                <w:szCs w:val="21"/>
                <w:lang w:val="en-US"/>
              </w:rPr>
              <w:t>华润置地控股于2013年1月31日成立于广东省，主要业务为房地产开发与销售以及投资物业租赁、工程施工等。</w:t>
            </w:r>
          </w:p>
          <w:p>
            <w:pPr>
              <w:adjustRightInd w:val="0"/>
              <w:snapToGrid w:val="0"/>
              <w:spacing w:after="0"/>
              <w:rPr>
                <w:rFonts w:hint="eastAsia"/>
                <w:sz w:val="21"/>
                <w:szCs w:val="21"/>
                <w:lang w:val="en-US"/>
              </w:rPr>
            </w:pPr>
            <w:r>
              <w:rPr>
                <w:rFonts w:hint="eastAsia"/>
                <w:sz w:val="21"/>
                <w:szCs w:val="21"/>
                <w:lang w:val="en-US"/>
              </w:rPr>
              <w:t>华润置地控股最终控制人为中国华润有限公司，主要业务为大消费、综合能源、城市建设与运营、大健康、产业金融、科技及新兴产业等。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noWrap w:val="0"/>
            <w:vAlign w:val="center"/>
          </w:tcPr>
          <w:p>
            <w:pPr>
              <w:pStyle w:val="3"/>
              <w:adjustRightInd w:val="0"/>
              <w:snapToGrid w:val="0"/>
              <w:spacing w:after="0"/>
              <w:rPr>
                <w:rFonts w:cs="Times New Roman"/>
                <w:bCs/>
                <w:color w:val="000000"/>
                <w:sz w:val="21"/>
                <w:szCs w:val="21"/>
                <w:lang w:val="en-US" w:eastAsia="zh-CN"/>
              </w:rPr>
            </w:pPr>
          </w:p>
        </w:tc>
        <w:tc>
          <w:tcPr>
            <w:tcW w:w="1746" w:type="dxa"/>
            <w:noWrap w:val="0"/>
            <w:vAlign w:val="center"/>
          </w:tcPr>
          <w:p>
            <w:pPr>
              <w:pStyle w:val="3"/>
              <w:adjustRightInd w:val="0"/>
              <w:snapToGrid w:val="0"/>
              <w:spacing w:after="0"/>
              <w:rPr>
                <w:rFonts w:hint="eastAsia"/>
                <w:bCs/>
                <w:color w:val="000000"/>
                <w:sz w:val="21"/>
                <w:szCs w:val="21"/>
                <w:lang w:val="en-US" w:eastAsia="zh-CN"/>
              </w:rPr>
            </w:pPr>
            <w:r>
              <w:rPr>
                <w:rFonts w:hint="eastAsia"/>
                <w:bCs/>
                <w:color w:val="000000"/>
                <w:sz w:val="21"/>
                <w:szCs w:val="21"/>
                <w:lang w:val="en-US" w:eastAsia="zh-CN"/>
              </w:rPr>
              <w:t>2</w:t>
            </w:r>
            <w:r>
              <w:rPr>
                <w:bCs/>
                <w:color w:val="000000"/>
                <w:sz w:val="21"/>
                <w:szCs w:val="21"/>
                <w:lang w:val="en-US" w:eastAsia="zh-CN"/>
              </w:rPr>
              <w:t xml:space="preserve">. </w:t>
            </w:r>
            <w:r>
              <w:rPr>
                <w:rFonts w:hint="eastAsia" w:ascii="宋体" w:hAnsi="宋体"/>
                <w:sz w:val="21"/>
                <w:szCs w:val="21"/>
              </w:rPr>
              <w:t>南沙交投</w:t>
            </w:r>
          </w:p>
        </w:tc>
        <w:tc>
          <w:tcPr>
            <w:tcW w:w="5954" w:type="dxa"/>
            <w:noWrap w:val="0"/>
            <w:vAlign w:val="center"/>
          </w:tcPr>
          <w:p>
            <w:pPr>
              <w:adjustRightInd w:val="0"/>
              <w:snapToGrid w:val="0"/>
              <w:spacing w:after="0"/>
              <w:rPr>
                <w:sz w:val="21"/>
                <w:szCs w:val="21"/>
                <w:lang w:val="en-US"/>
              </w:rPr>
            </w:pPr>
            <w:r>
              <w:rPr>
                <w:rFonts w:hint="eastAsia"/>
                <w:sz w:val="21"/>
                <w:szCs w:val="21"/>
                <w:lang w:val="en-US"/>
              </w:rPr>
              <w:t>南沙交投</w:t>
            </w:r>
            <w:r>
              <w:rPr>
                <w:sz w:val="21"/>
                <w:szCs w:val="21"/>
                <w:lang w:val="en-US"/>
              </w:rPr>
              <w:t>于2022年8月</w:t>
            </w:r>
            <w:r>
              <w:rPr>
                <w:rFonts w:hint="eastAsia"/>
                <w:sz w:val="21"/>
                <w:szCs w:val="21"/>
                <w:lang w:val="en-US"/>
              </w:rPr>
              <w:t>1</w:t>
            </w:r>
            <w:r>
              <w:rPr>
                <w:sz w:val="21"/>
                <w:szCs w:val="21"/>
                <w:lang w:val="en-US"/>
              </w:rPr>
              <w:t>5日成立于</w:t>
            </w:r>
            <w:r>
              <w:rPr>
                <w:rFonts w:hint="eastAsia"/>
                <w:sz w:val="21"/>
                <w:szCs w:val="21"/>
                <w:lang w:val="en-US"/>
              </w:rPr>
              <w:t>广东省，</w:t>
            </w:r>
            <w:r>
              <w:rPr>
                <w:sz w:val="21"/>
                <w:szCs w:val="21"/>
                <w:lang w:val="en-US"/>
              </w:rPr>
              <w:t>主要</w:t>
            </w:r>
            <w:r>
              <w:rPr>
                <w:rFonts w:hint="eastAsia"/>
                <w:sz w:val="21"/>
                <w:szCs w:val="21"/>
                <w:lang w:val="en-US"/>
              </w:rPr>
              <w:t>业务为交通基础设施投资、建设及运营，智慧交通投资、建设与运营，以及综合交通业务等</w:t>
            </w:r>
            <w:r>
              <w:rPr>
                <w:sz w:val="21"/>
                <w:szCs w:val="21"/>
                <w:lang w:val="en-US"/>
              </w:rPr>
              <w:t>。</w:t>
            </w:r>
          </w:p>
          <w:p>
            <w:pPr>
              <w:widowControl w:val="0"/>
              <w:spacing w:after="0"/>
              <w:rPr>
                <w:bCs/>
                <w:color w:val="000000"/>
                <w:sz w:val="21"/>
                <w:szCs w:val="21"/>
              </w:rPr>
            </w:pPr>
            <w:r>
              <w:rPr>
                <w:rFonts w:hint="eastAsia"/>
                <w:kern w:val="2"/>
                <w:sz w:val="21"/>
                <w:szCs w:val="21"/>
                <w:lang w:val="en-US" w:bidi="ar-SA"/>
              </w:rPr>
              <w:t>南沙交投为广州南沙经济技术开发区管理委员会下属企业。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noWrap w:val="0"/>
            <w:vAlign w:val="center"/>
          </w:tcPr>
          <w:p>
            <w:pPr>
              <w:pStyle w:val="3"/>
              <w:adjustRightInd w:val="0"/>
              <w:snapToGrid w:val="0"/>
              <w:spacing w:after="0"/>
              <w:rPr>
                <w:rFonts w:cs="Times New Roman"/>
                <w:bCs/>
                <w:color w:val="000000"/>
                <w:sz w:val="21"/>
                <w:szCs w:val="21"/>
                <w:lang w:val="en-US" w:eastAsia="zh-CN"/>
              </w:rPr>
            </w:pPr>
          </w:p>
        </w:tc>
        <w:tc>
          <w:tcPr>
            <w:tcW w:w="1746" w:type="dxa"/>
            <w:noWrap w:val="0"/>
            <w:vAlign w:val="center"/>
          </w:tcPr>
          <w:p>
            <w:pPr>
              <w:pStyle w:val="3"/>
              <w:adjustRightInd w:val="0"/>
              <w:snapToGrid w:val="0"/>
              <w:spacing w:after="0"/>
              <w:rPr>
                <w:rFonts w:hint="eastAsia"/>
                <w:bCs/>
                <w:color w:val="000000"/>
                <w:sz w:val="21"/>
                <w:szCs w:val="21"/>
                <w:lang w:val="en-US" w:eastAsia="zh-CN"/>
              </w:rPr>
            </w:pPr>
            <w:r>
              <w:rPr>
                <w:bCs/>
                <w:color w:val="000000"/>
                <w:sz w:val="21"/>
                <w:szCs w:val="21"/>
                <w:lang w:val="en-US" w:eastAsia="zh-CN"/>
              </w:rPr>
              <w:t xml:space="preserve">3. </w:t>
            </w:r>
            <w:r>
              <w:rPr>
                <w:rFonts w:hint="eastAsia"/>
                <w:bCs/>
                <w:color w:val="000000"/>
                <w:sz w:val="21"/>
                <w:szCs w:val="21"/>
                <w:lang w:val="en-US" w:eastAsia="zh-CN"/>
              </w:rPr>
              <w:t>城投发展</w:t>
            </w:r>
          </w:p>
        </w:tc>
        <w:tc>
          <w:tcPr>
            <w:tcW w:w="5954" w:type="dxa"/>
            <w:noWrap w:val="0"/>
            <w:vAlign w:val="center"/>
          </w:tcPr>
          <w:p>
            <w:pPr>
              <w:widowControl w:val="0"/>
              <w:spacing w:after="0"/>
              <w:rPr>
                <w:rFonts w:hint="eastAsia"/>
                <w:kern w:val="2"/>
                <w:sz w:val="21"/>
                <w:szCs w:val="21"/>
                <w:lang w:val="en-US" w:bidi="ar-SA"/>
              </w:rPr>
            </w:pPr>
            <w:r>
              <w:rPr>
                <w:rFonts w:hint="eastAsia"/>
                <w:kern w:val="2"/>
                <w:sz w:val="21"/>
                <w:szCs w:val="21"/>
                <w:lang w:val="en-US" w:bidi="ar-SA"/>
              </w:rPr>
              <w:t>城投发展于2003年8月5日成立于广东省，主要业务为住宅、大型零售商业地产等房地产的开发和运营。</w:t>
            </w:r>
          </w:p>
          <w:p>
            <w:pPr>
              <w:widowControl w:val="0"/>
              <w:spacing w:after="0"/>
              <w:rPr>
                <w:kern w:val="2"/>
                <w:sz w:val="21"/>
                <w:szCs w:val="21"/>
                <w:lang w:val="en-US" w:bidi="ar-SA"/>
              </w:rPr>
            </w:pPr>
            <w:r>
              <w:rPr>
                <w:rFonts w:hint="eastAsia"/>
                <w:kern w:val="2"/>
                <w:sz w:val="21"/>
                <w:szCs w:val="21"/>
                <w:lang w:val="en-US" w:bidi="ar-SA"/>
              </w:rPr>
              <w:t>城投发展最终控制人为广州市城市建设投资集团有限公司，主要从事资产经营、房地产、金融和贸易业务。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noWrap w:val="0"/>
            <w:vAlign w:val="center"/>
          </w:tcPr>
          <w:p>
            <w:pPr>
              <w:pStyle w:val="3"/>
              <w:adjustRightInd w:val="0"/>
              <w:snapToGrid w:val="0"/>
              <w:spacing w:after="0"/>
              <w:rPr>
                <w:rFonts w:cs="Times New Roman"/>
                <w:bCs/>
                <w:color w:val="000000"/>
                <w:sz w:val="21"/>
                <w:szCs w:val="21"/>
                <w:lang w:val="en-US" w:eastAsia="zh-CN"/>
              </w:rPr>
            </w:pPr>
            <w:r>
              <w:rPr>
                <w:rFonts w:cs="Times New Roman"/>
                <w:bCs/>
                <w:color w:val="000000"/>
                <w:sz w:val="21"/>
                <w:szCs w:val="21"/>
                <w:lang w:eastAsia="zh-CN"/>
              </w:rPr>
              <w:t>简易案件理由（可以单选，也可以多选）</w:t>
            </w:r>
          </w:p>
        </w:tc>
        <w:tc>
          <w:tcPr>
            <w:tcW w:w="7700" w:type="dxa"/>
            <w:gridSpan w:val="2"/>
            <w:noWrap w:val="0"/>
            <w:vAlign w:val="center"/>
          </w:tcPr>
          <w:p>
            <w:pPr>
              <w:pStyle w:val="3"/>
              <w:adjustRightInd w:val="0"/>
              <w:snapToGrid w:val="0"/>
              <w:spacing w:after="0"/>
              <w:rPr>
                <w:rFonts w:cs="Times New Roman"/>
                <w:bCs/>
                <w:color w:val="000000"/>
                <w:sz w:val="21"/>
                <w:szCs w:val="21"/>
                <w:lang w:val="en-US" w:eastAsia="zh-CN"/>
              </w:rPr>
            </w:pPr>
            <w:r>
              <w:rPr>
                <w:rFonts w:cs="Times New Roman"/>
                <w:bCs/>
                <w:color w:val="000000"/>
                <w:sz w:val="21"/>
                <w:szCs w:val="21"/>
                <w:lang w:eastAsia="zh-CN"/>
              </w:rPr>
              <w:sym w:font="Wingdings" w:char="00FE"/>
            </w:r>
            <w:r>
              <w:rPr>
                <w:rFonts w:cs="Times New Roman"/>
                <w:bCs/>
                <w:color w:val="000000"/>
                <w:sz w:val="21"/>
                <w:szCs w:val="21"/>
                <w:lang w:eastAsia="zh-CN"/>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noWrap w:val="0"/>
            <w:vAlign w:val="center"/>
          </w:tcPr>
          <w:p>
            <w:pPr>
              <w:pStyle w:val="3"/>
              <w:adjustRightInd w:val="0"/>
              <w:snapToGrid w:val="0"/>
              <w:spacing w:after="0"/>
              <w:rPr>
                <w:rFonts w:cs="Times New Roman"/>
                <w:bCs/>
                <w:color w:val="000000"/>
                <w:sz w:val="21"/>
                <w:szCs w:val="21"/>
                <w:lang w:val="en-US" w:eastAsia="zh-CN"/>
              </w:rPr>
            </w:pPr>
          </w:p>
        </w:tc>
        <w:tc>
          <w:tcPr>
            <w:tcW w:w="7700" w:type="dxa"/>
            <w:gridSpan w:val="2"/>
            <w:noWrap w:val="0"/>
            <w:vAlign w:val="center"/>
          </w:tcPr>
          <w:p>
            <w:pPr>
              <w:pStyle w:val="3"/>
              <w:adjustRightInd w:val="0"/>
              <w:snapToGrid w:val="0"/>
              <w:spacing w:after="0"/>
              <w:rPr>
                <w:rFonts w:cs="Times New Roman"/>
                <w:bCs/>
                <w:color w:val="000000"/>
                <w:sz w:val="21"/>
                <w:szCs w:val="21"/>
                <w:lang w:val="en-US" w:eastAsia="zh-CN"/>
              </w:rPr>
            </w:pPr>
            <w:r>
              <w:rPr>
                <w:rFonts w:cs="Times New Roman"/>
                <w:bCs/>
                <w:color w:val="000000"/>
                <w:sz w:val="21"/>
                <w:szCs w:val="21"/>
                <w:lang w:eastAsia="zh-CN"/>
              </w:rPr>
              <w:sym w:font="Wingdings" w:char="00FE"/>
            </w:r>
            <w:r>
              <w:rPr>
                <w:rFonts w:cs="Times New Roman"/>
                <w:bCs/>
                <w:color w:val="000000"/>
                <w:sz w:val="21"/>
                <w:szCs w:val="21"/>
                <w:lang w:eastAsia="zh-CN"/>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noWrap w:val="0"/>
            <w:vAlign w:val="center"/>
          </w:tcPr>
          <w:p>
            <w:pPr>
              <w:pStyle w:val="3"/>
              <w:adjustRightInd w:val="0"/>
              <w:snapToGrid w:val="0"/>
              <w:spacing w:after="0"/>
              <w:rPr>
                <w:rFonts w:cs="Times New Roman"/>
                <w:bCs/>
                <w:color w:val="000000"/>
                <w:sz w:val="21"/>
                <w:szCs w:val="21"/>
                <w:lang w:val="en-US" w:eastAsia="zh-CN"/>
              </w:rPr>
            </w:pPr>
          </w:p>
        </w:tc>
        <w:tc>
          <w:tcPr>
            <w:tcW w:w="7700" w:type="dxa"/>
            <w:gridSpan w:val="2"/>
            <w:noWrap w:val="0"/>
            <w:vAlign w:val="center"/>
          </w:tcPr>
          <w:p>
            <w:pPr>
              <w:pStyle w:val="3"/>
              <w:adjustRightInd w:val="0"/>
              <w:snapToGrid w:val="0"/>
              <w:spacing w:after="0"/>
              <w:rPr>
                <w:rFonts w:cs="Times New Roman"/>
                <w:bCs/>
                <w:color w:val="000000"/>
                <w:sz w:val="21"/>
                <w:szCs w:val="21"/>
                <w:lang w:val="en-US" w:eastAsia="zh-CN"/>
              </w:rPr>
            </w:pPr>
            <w:r>
              <w:rPr>
                <w:rFonts w:cs="Times New Roman"/>
                <w:bCs/>
                <w:color w:val="000000"/>
                <w:sz w:val="21"/>
                <w:szCs w:val="21"/>
                <w:lang w:eastAsia="zh-CN"/>
              </w:rPr>
              <w:sym w:font="Wingdings" w:char="00A8"/>
            </w:r>
            <w:r>
              <w:rPr>
                <w:rFonts w:cs="Times New Roman"/>
                <w:bCs/>
                <w:color w:val="000000"/>
                <w:sz w:val="21"/>
                <w:szCs w:val="21"/>
                <w:lang w:eastAsia="zh-CN"/>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940" w:type="dxa"/>
            <w:vMerge w:val="continue"/>
            <w:shd w:val="clear" w:color="auto" w:fill="D9D9D9"/>
            <w:noWrap w:val="0"/>
            <w:vAlign w:val="center"/>
          </w:tcPr>
          <w:p>
            <w:pPr>
              <w:pStyle w:val="3"/>
              <w:adjustRightInd w:val="0"/>
              <w:snapToGrid w:val="0"/>
              <w:spacing w:after="0"/>
              <w:rPr>
                <w:rFonts w:cs="Times New Roman"/>
                <w:bCs/>
                <w:color w:val="000000"/>
                <w:sz w:val="21"/>
                <w:szCs w:val="21"/>
                <w:lang w:val="en-US" w:eastAsia="zh-CN"/>
              </w:rPr>
            </w:pPr>
          </w:p>
        </w:tc>
        <w:tc>
          <w:tcPr>
            <w:tcW w:w="7700" w:type="dxa"/>
            <w:gridSpan w:val="2"/>
            <w:noWrap w:val="0"/>
            <w:vAlign w:val="center"/>
          </w:tcPr>
          <w:p>
            <w:pPr>
              <w:pStyle w:val="3"/>
              <w:adjustRightInd w:val="0"/>
              <w:snapToGrid w:val="0"/>
              <w:spacing w:after="0"/>
              <w:rPr>
                <w:rFonts w:cs="Times New Roman"/>
                <w:bCs/>
                <w:color w:val="000000"/>
                <w:sz w:val="21"/>
                <w:szCs w:val="21"/>
                <w:lang w:val="en-US" w:eastAsia="zh-CN"/>
              </w:rPr>
            </w:pPr>
            <w:r>
              <w:rPr>
                <w:rFonts w:cs="Times New Roman"/>
                <w:bCs/>
                <w:color w:val="000000"/>
                <w:sz w:val="21"/>
                <w:szCs w:val="21"/>
                <w:lang w:eastAsia="zh-CN"/>
              </w:rPr>
              <w:sym w:font="Wingdings" w:char="00A8"/>
            </w:r>
            <w:r>
              <w:rPr>
                <w:rFonts w:cs="Times New Roman"/>
                <w:bCs/>
                <w:color w:val="000000"/>
                <w:sz w:val="21"/>
                <w:szCs w:val="21"/>
                <w:lang w:eastAsia="zh-CN"/>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noWrap w:val="0"/>
            <w:vAlign w:val="center"/>
          </w:tcPr>
          <w:p>
            <w:pPr>
              <w:pStyle w:val="3"/>
              <w:adjustRightInd w:val="0"/>
              <w:snapToGrid w:val="0"/>
              <w:spacing w:after="0"/>
              <w:rPr>
                <w:rFonts w:cs="Times New Roman"/>
                <w:bCs/>
                <w:color w:val="000000"/>
                <w:sz w:val="21"/>
                <w:szCs w:val="21"/>
                <w:lang w:val="en-US" w:eastAsia="zh-CN"/>
              </w:rPr>
            </w:pPr>
          </w:p>
        </w:tc>
        <w:tc>
          <w:tcPr>
            <w:tcW w:w="7700" w:type="dxa"/>
            <w:gridSpan w:val="2"/>
            <w:noWrap w:val="0"/>
            <w:vAlign w:val="center"/>
          </w:tcPr>
          <w:p>
            <w:pPr>
              <w:pStyle w:val="3"/>
              <w:adjustRightInd w:val="0"/>
              <w:snapToGrid w:val="0"/>
              <w:spacing w:after="0"/>
              <w:rPr>
                <w:rFonts w:cs="Times New Roman"/>
                <w:bCs/>
                <w:color w:val="000000"/>
                <w:sz w:val="21"/>
                <w:szCs w:val="21"/>
                <w:lang w:val="en-US" w:eastAsia="zh-CN"/>
              </w:rPr>
            </w:pPr>
            <w:r>
              <w:rPr>
                <w:rFonts w:cs="Times New Roman"/>
                <w:bCs/>
                <w:color w:val="000000"/>
                <w:sz w:val="21"/>
                <w:szCs w:val="21"/>
                <w:lang w:eastAsia="zh-CN"/>
              </w:rPr>
              <w:sym w:font="Wingdings" w:char="00A8"/>
            </w:r>
            <w:r>
              <w:rPr>
                <w:rFonts w:cs="Times New Roman"/>
                <w:bCs/>
                <w:color w:val="000000"/>
                <w:sz w:val="21"/>
                <w:szCs w:val="21"/>
                <w:lang w:eastAsia="zh-CN"/>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noWrap w:val="0"/>
            <w:vAlign w:val="center"/>
          </w:tcPr>
          <w:p>
            <w:pPr>
              <w:pStyle w:val="3"/>
              <w:adjustRightInd w:val="0"/>
              <w:snapToGrid w:val="0"/>
              <w:spacing w:after="0"/>
              <w:rPr>
                <w:rFonts w:cs="Times New Roman"/>
                <w:bCs/>
                <w:color w:val="000000"/>
                <w:sz w:val="21"/>
                <w:szCs w:val="21"/>
                <w:lang w:val="en-US" w:eastAsia="zh-CN"/>
              </w:rPr>
            </w:pPr>
          </w:p>
        </w:tc>
        <w:tc>
          <w:tcPr>
            <w:tcW w:w="7700" w:type="dxa"/>
            <w:gridSpan w:val="2"/>
            <w:noWrap w:val="0"/>
            <w:vAlign w:val="center"/>
          </w:tcPr>
          <w:p>
            <w:pPr>
              <w:pStyle w:val="3"/>
              <w:adjustRightInd w:val="0"/>
              <w:snapToGrid w:val="0"/>
              <w:spacing w:after="0"/>
              <w:rPr>
                <w:rFonts w:cs="Times New Roman"/>
                <w:bCs/>
                <w:color w:val="000000"/>
                <w:sz w:val="21"/>
                <w:szCs w:val="21"/>
                <w:lang w:val="en-US" w:eastAsia="zh-CN"/>
              </w:rPr>
            </w:pPr>
            <w:r>
              <w:rPr>
                <w:rFonts w:cs="Times New Roman"/>
                <w:bCs/>
                <w:color w:val="000000"/>
                <w:sz w:val="21"/>
                <w:szCs w:val="21"/>
                <w:lang w:eastAsia="zh-CN"/>
              </w:rPr>
              <w:sym w:font="Wingdings" w:char="00A8"/>
            </w:r>
            <w:r>
              <w:rPr>
                <w:rFonts w:cs="Times New Roman"/>
                <w:bCs/>
                <w:color w:val="000000"/>
                <w:sz w:val="21"/>
                <w:szCs w:val="21"/>
                <w:lang w:eastAsia="zh-CN"/>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1940" w:type="dxa"/>
            <w:shd w:val="clear" w:color="auto" w:fill="D9D9D9"/>
            <w:noWrap w:val="0"/>
            <w:vAlign w:val="center"/>
          </w:tcPr>
          <w:p>
            <w:pPr>
              <w:pStyle w:val="3"/>
              <w:adjustRightInd w:val="0"/>
              <w:snapToGrid w:val="0"/>
              <w:spacing w:after="0"/>
              <w:rPr>
                <w:rFonts w:cs="Times New Roman"/>
                <w:bCs/>
                <w:color w:val="000000"/>
                <w:sz w:val="21"/>
                <w:szCs w:val="21"/>
                <w:lang w:val="en-US" w:eastAsia="zh-CN"/>
              </w:rPr>
            </w:pPr>
            <w:r>
              <w:rPr>
                <w:rFonts w:cs="Times New Roman"/>
                <w:bCs/>
                <w:color w:val="000000"/>
                <w:sz w:val="21"/>
                <w:szCs w:val="21"/>
                <w:lang w:val="en-US" w:eastAsia="zh-CN"/>
              </w:rPr>
              <w:t>备注</w:t>
            </w:r>
          </w:p>
        </w:tc>
        <w:tc>
          <w:tcPr>
            <w:tcW w:w="7700" w:type="dxa"/>
            <w:gridSpan w:val="2"/>
            <w:noWrap w:val="0"/>
            <w:vAlign w:val="center"/>
          </w:tcPr>
          <w:p>
            <w:pPr>
              <w:pStyle w:val="3"/>
              <w:adjustRightInd w:val="0"/>
              <w:snapToGrid w:val="0"/>
              <w:spacing w:after="0"/>
              <w:rPr>
                <w:rFonts w:cs="Times New Roman"/>
                <w:b/>
                <w:color w:val="000000"/>
                <w:sz w:val="21"/>
                <w:szCs w:val="21"/>
                <w:lang w:eastAsia="zh-CN"/>
              </w:rPr>
            </w:pPr>
            <w:r>
              <w:rPr>
                <w:rFonts w:hint="eastAsia" w:cs="Times New Roman"/>
                <w:b/>
                <w:color w:val="000000"/>
                <w:sz w:val="21"/>
                <w:szCs w:val="21"/>
                <w:lang w:eastAsia="zh-CN"/>
              </w:rPr>
              <w:t>横向重叠：</w:t>
            </w:r>
          </w:p>
          <w:tbl>
            <w:tblPr>
              <w:tblStyle w:val="4"/>
              <w:tblW w:w="754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2"/>
              <w:gridCol w:w="1559"/>
              <w:gridCol w:w="33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2" w:type="dxa"/>
                  <w:noWrap w:val="0"/>
                  <w:vAlign w:val="top"/>
                </w:tcPr>
                <w:p>
                  <w:pPr>
                    <w:adjustRightInd w:val="0"/>
                    <w:snapToGrid w:val="0"/>
                    <w:spacing w:after="0"/>
                    <w:jc w:val="center"/>
                    <w:rPr>
                      <w:bCs/>
                      <w:color w:val="000000"/>
                      <w:sz w:val="21"/>
                      <w:szCs w:val="21"/>
                      <w:lang w:val="en-US"/>
                    </w:rPr>
                  </w:pPr>
                  <w:r>
                    <w:rPr>
                      <w:bCs/>
                      <w:color w:val="000000"/>
                      <w:sz w:val="21"/>
                      <w:szCs w:val="21"/>
                      <w:lang w:val="en-US"/>
                    </w:rPr>
                    <w:t>相关商品市场</w:t>
                  </w:r>
                </w:p>
              </w:tc>
              <w:tc>
                <w:tcPr>
                  <w:tcW w:w="1559" w:type="dxa"/>
                  <w:noWrap w:val="0"/>
                  <w:vAlign w:val="top"/>
                </w:tcPr>
                <w:p>
                  <w:pPr>
                    <w:adjustRightInd w:val="0"/>
                    <w:snapToGrid w:val="0"/>
                    <w:spacing w:after="0"/>
                    <w:jc w:val="center"/>
                    <w:rPr>
                      <w:bCs/>
                      <w:color w:val="000000"/>
                      <w:sz w:val="21"/>
                      <w:szCs w:val="21"/>
                      <w:lang w:val="en-US"/>
                    </w:rPr>
                  </w:pPr>
                  <w:r>
                    <w:rPr>
                      <w:bCs/>
                      <w:color w:val="000000"/>
                      <w:sz w:val="21"/>
                      <w:szCs w:val="21"/>
                      <w:lang w:val="en-US"/>
                    </w:rPr>
                    <w:t>相关地域市场</w:t>
                  </w:r>
                </w:p>
              </w:tc>
              <w:tc>
                <w:tcPr>
                  <w:tcW w:w="3325" w:type="dxa"/>
                  <w:noWrap w:val="0"/>
                  <w:vAlign w:val="top"/>
                </w:tcPr>
                <w:p>
                  <w:pPr>
                    <w:adjustRightInd w:val="0"/>
                    <w:snapToGrid w:val="0"/>
                    <w:spacing w:after="0"/>
                    <w:jc w:val="center"/>
                    <w:rPr>
                      <w:bCs/>
                      <w:color w:val="000000"/>
                      <w:sz w:val="21"/>
                      <w:szCs w:val="21"/>
                      <w:lang w:val="en-US"/>
                    </w:rPr>
                  </w:pPr>
                  <w:r>
                    <w:rPr>
                      <w:rFonts w:hint="eastAsia"/>
                      <w:bCs/>
                      <w:color w:val="000000"/>
                      <w:sz w:val="21"/>
                      <w:szCs w:val="21"/>
                      <w:lang w:val="en-US"/>
                    </w:rPr>
                    <w:t>2021年</w:t>
                  </w:r>
                  <w:r>
                    <w:rPr>
                      <w:bCs/>
                      <w:color w:val="000000"/>
                      <w:sz w:val="21"/>
                      <w:szCs w:val="21"/>
                      <w:lang w:val="en-US"/>
                    </w:rPr>
                    <w:t>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2" w:type="dxa"/>
                  <w:noWrap w:val="0"/>
                  <w:vAlign w:val="top"/>
                </w:tcPr>
                <w:p>
                  <w:pPr>
                    <w:adjustRightInd w:val="0"/>
                    <w:snapToGrid w:val="0"/>
                    <w:spacing w:after="0"/>
                    <w:rPr>
                      <w:bCs/>
                      <w:color w:val="000000"/>
                      <w:sz w:val="21"/>
                      <w:szCs w:val="21"/>
                      <w:lang w:val="en-US"/>
                    </w:rPr>
                  </w:pPr>
                  <w:r>
                    <w:rPr>
                      <w:rFonts w:hint="eastAsia"/>
                      <w:bCs/>
                      <w:color w:val="000000"/>
                      <w:sz w:val="21"/>
                      <w:szCs w:val="21"/>
                      <w:lang w:val="en-US"/>
                    </w:rPr>
                    <w:t>商品住宅开发和销售市场</w:t>
                  </w:r>
                </w:p>
              </w:tc>
              <w:tc>
                <w:tcPr>
                  <w:tcW w:w="1559" w:type="dxa"/>
                  <w:noWrap w:val="0"/>
                  <w:vAlign w:val="top"/>
                </w:tcPr>
                <w:p>
                  <w:pPr>
                    <w:adjustRightInd w:val="0"/>
                    <w:snapToGrid w:val="0"/>
                    <w:spacing w:after="0"/>
                    <w:rPr>
                      <w:bCs/>
                      <w:color w:val="000000"/>
                      <w:sz w:val="21"/>
                      <w:szCs w:val="21"/>
                      <w:lang w:val="en-US"/>
                    </w:rPr>
                  </w:pPr>
                  <w:r>
                    <w:rPr>
                      <w:rFonts w:hint="eastAsia"/>
                      <w:bCs/>
                      <w:color w:val="000000"/>
                      <w:sz w:val="21"/>
                      <w:szCs w:val="21"/>
                      <w:lang w:val="en-US"/>
                    </w:rPr>
                    <w:t>广州市</w:t>
                  </w:r>
                </w:p>
              </w:tc>
              <w:tc>
                <w:tcPr>
                  <w:tcW w:w="3325" w:type="dxa"/>
                  <w:noWrap w:val="0"/>
                  <w:vAlign w:val="top"/>
                </w:tcPr>
                <w:p>
                  <w:pPr>
                    <w:adjustRightInd w:val="0"/>
                    <w:snapToGrid w:val="0"/>
                    <w:spacing w:after="0"/>
                    <w:rPr>
                      <w:rFonts w:hint="eastAsia"/>
                      <w:color w:val="333333"/>
                      <w:sz w:val="21"/>
                      <w:szCs w:val="21"/>
                    </w:rPr>
                  </w:pPr>
                  <w:r>
                    <w:rPr>
                      <w:rFonts w:hint="eastAsia"/>
                      <w:color w:val="333333"/>
                      <w:sz w:val="21"/>
                      <w:szCs w:val="21"/>
                    </w:rPr>
                    <w:t>华润置地控股：0-5%，城投发展：0-5%，合营企业预估：0-5%，各方合计：0-5%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2" w:type="dxa"/>
                  <w:noWrap w:val="0"/>
                  <w:vAlign w:val="top"/>
                </w:tcPr>
                <w:p>
                  <w:pPr>
                    <w:adjustRightInd w:val="0"/>
                    <w:snapToGrid w:val="0"/>
                    <w:spacing w:after="0"/>
                    <w:rPr>
                      <w:bCs/>
                      <w:color w:val="000000"/>
                      <w:sz w:val="21"/>
                      <w:szCs w:val="21"/>
                      <w:lang w:val="en-US"/>
                    </w:rPr>
                  </w:pPr>
                  <w:r>
                    <w:rPr>
                      <w:rFonts w:hint="eastAsia"/>
                      <w:bCs/>
                      <w:color w:val="000000"/>
                      <w:sz w:val="21"/>
                      <w:szCs w:val="21"/>
                      <w:lang w:val="en-US"/>
                    </w:rPr>
                    <w:t>大型零售商业地产开发和运营市场</w:t>
                  </w:r>
                </w:p>
              </w:tc>
              <w:tc>
                <w:tcPr>
                  <w:tcW w:w="1559" w:type="dxa"/>
                  <w:noWrap w:val="0"/>
                  <w:vAlign w:val="top"/>
                </w:tcPr>
                <w:p>
                  <w:pPr>
                    <w:adjustRightInd w:val="0"/>
                    <w:snapToGrid w:val="0"/>
                    <w:spacing w:after="0"/>
                    <w:rPr>
                      <w:bCs/>
                      <w:color w:val="000000"/>
                      <w:sz w:val="21"/>
                      <w:szCs w:val="21"/>
                      <w:lang w:val="en-US"/>
                    </w:rPr>
                  </w:pPr>
                  <w:r>
                    <w:rPr>
                      <w:rFonts w:hint="eastAsia"/>
                      <w:bCs/>
                      <w:color w:val="000000"/>
                      <w:sz w:val="21"/>
                      <w:szCs w:val="21"/>
                      <w:lang w:val="en-US"/>
                    </w:rPr>
                    <w:t>广州市</w:t>
                  </w:r>
                </w:p>
              </w:tc>
              <w:tc>
                <w:tcPr>
                  <w:tcW w:w="3325" w:type="dxa"/>
                  <w:noWrap w:val="0"/>
                  <w:vAlign w:val="top"/>
                </w:tcPr>
                <w:p>
                  <w:pPr>
                    <w:adjustRightInd w:val="0"/>
                    <w:snapToGrid w:val="0"/>
                    <w:spacing w:after="0"/>
                    <w:rPr>
                      <w:rFonts w:hint="eastAsia"/>
                      <w:bCs/>
                      <w:color w:val="000000"/>
                      <w:sz w:val="21"/>
                      <w:szCs w:val="21"/>
                    </w:rPr>
                  </w:pPr>
                  <w:r>
                    <w:rPr>
                      <w:rFonts w:hint="eastAsia"/>
                      <w:color w:val="333333"/>
                      <w:sz w:val="21"/>
                      <w:szCs w:val="21"/>
                    </w:rPr>
                    <w:t>华润置地控股：0-5%，城投发展：0-5%，合营企业预估：0-5%，各方合计：0-5%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2" w:type="dxa"/>
                  <w:noWrap w:val="0"/>
                  <w:vAlign w:val="top"/>
                </w:tcPr>
                <w:p>
                  <w:pPr>
                    <w:adjustRightInd w:val="0"/>
                    <w:snapToGrid w:val="0"/>
                    <w:spacing w:after="0"/>
                    <w:rPr>
                      <w:rFonts w:hint="eastAsia"/>
                      <w:bCs/>
                      <w:color w:val="000000"/>
                      <w:sz w:val="21"/>
                      <w:szCs w:val="21"/>
                      <w:lang w:val="en-US"/>
                    </w:rPr>
                  </w:pPr>
                  <w:r>
                    <w:rPr>
                      <w:rFonts w:hint="eastAsia"/>
                      <w:bCs/>
                      <w:color w:val="000000"/>
                      <w:sz w:val="21"/>
                      <w:szCs w:val="21"/>
                      <w:lang w:val="en-US"/>
                    </w:rPr>
                    <w:t>写字楼开发和运营市场</w:t>
                  </w:r>
                </w:p>
              </w:tc>
              <w:tc>
                <w:tcPr>
                  <w:tcW w:w="1559" w:type="dxa"/>
                  <w:noWrap w:val="0"/>
                  <w:vAlign w:val="top"/>
                </w:tcPr>
                <w:p>
                  <w:pPr>
                    <w:adjustRightInd w:val="0"/>
                    <w:snapToGrid w:val="0"/>
                    <w:spacing w:after="0"/>
                    <w:rPr>
                      <w:bCs/>
                      <w:color w:val="000000"/>
                      <w:sz w:val="21"/>
                      <w:szCs w:val="21"/>
                      <w:lang w:val="en-US"/>
                    </w:rPr>
                  </w:pPr>
                  <w:r>
                    <w:rPr>
                      <w:rFonts w:hint="eastAsia"/>
                      <w:bCs/>
                      <w:color w:val="000000"/>
                      <w:sz w:val="21"/>
                      <w:szCs w:val="21"/>
                      <w:lang w:val="en-US"/>
                    </w:rPr>
                    <w:t>广州市</w:t>
                  </w:r>
                </w:p>
              </w:tc>
              <w:tc>
                <w:tcPr>
                  <w:tcW w:w="3325" w:type="dxa"/>
                  <w:noWrap w:val="0"/>
                  <w:vAlign w:val="top"/>
                </w:tcPr>
                <w:p>
                  <w:pPr>
                    <w:adjustRightInd w:val="0"/>
                    <w:snapToGrid w:val="0"/>
                    <w:spacing w:after="0"/>
                    <w:rPr>
                      <w:rFonts w:hint="eastAsia"/>
                      <w:bCs/>
                      <w:color w:val="000000"/>
                      <w:sz w:val="21"/>
                      <w:szCs w:val="21"/>
                      <w:lang w:val="en-US"/>
                    </w:rPr>
                  </w:pPr>
                  <w:r>
                    <w:rPr>
                      <w:rFonts w:hint="eastAsia"/>
                      <w:color w:val="333333"/>
                      <w:sz w:val="21"/>
                      <w:szCs w:val="21"/>
                    </w:rPr>
                    <w:t>华润置地控股：0-5%，城投发展：0-5%，合营企业预估：0-5%，各方合计：5-10%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2" w:type="dxa"/>
                  <w:noWrap w:val="0"/>
                  <w:vAlign w:val="top"/>
                </w:tcPr>
                <w:p>
                  <w:pPr>
                    <w:adjustRightInd w:val="0"/>
                    <w:snapToGrid w:val="0"/>
                    <w:spacing w:after="0"/>
                    <w:rPr>
                      <w:rFonts w:hint="eastAsia"/>
                      <w:bCs/>
                      <w:color w:val="000000"/>
                      <w:sz w:val="21"/>
                      <w:szCs w:val="21"/>
                      <w:lang w:val="en-US"/>
                    </w:rPr>
                  </w:pPr>
                  <w:r>
                    <w:rPr>
                      <w:rFonts w:hint="eastAsia"/>
                      <w:bCs/>
                      <w:color w:val="000000"/>
                      <w:sz w:val="21"/>
                      <w:szCs w:val="21"/>
                      <w:lang w:val="en-US"/>
                    </w:rPr>
                    <w:t>房屋建筑工程施工服务市场</w:t>
                  </w:r>
                </w:p>
              </w:tc>
              <w:tc>
                <w:tcPr>
                  <w:tcW w:w="1559" w:type="dxa"/>
                  <w:noWrap w:val="0"/>
                  <w:vAlign w:val="top"/>
                </w:tcPr>
                <w:p>
                  <w:pPr>
                    <w:adjustRightInd w:val="0"/>
                    <w:snapToGrid w:val="0"/>
                    <w:spacing w:after="0"/>
                    <w:rPr>
                      <w:bCs/>
                      <w:color w:val="000000"/>
                      <w:sz w:val="21"/>
                      <w:szCs w:val="21"/>
                      <w:lang w:val="en-US"/>
                    </w:rPr>
                  </w:pPr>
                  <w:r>
                    <w:rPr>
                      <w:bCs/>
                      <w:color w:val="000000"/>
                      <w:sz w:val="21"/>
                      <w:szCs w:val="21"/>
                      <w:lang w:val="en-US"/>
                    </w:rPr>
                    <w:t>中国境内</w:t>
                  </w:r>
                </w:p>
              </w:tc>
              <w:tc>
                <w:tcPr>
                  <w:tcW w:w="3325" w:type="dxa"/>
                  <w:noWrap w:val="0"/>
                  <w:vAlign w:val="top"/>
                </w:tcPr>
                <w:p>
                  <w:pPr>
                    <w:adjustRightInd w:val="0"/>
                    <w:snapToGrid w:val="0"/>
                    <w:spacing w:after="0"/>
                    <w:rPr>
                      <w:rFonts w:hint="eastAsia"/>
                      <w:bCs/>
                      <w:color w:val="000000"/>
                      <w:sz w:val="21"/>
                      <w:szCs w:val="21"/>
                      <w:lang w:val="en-US"/>
                    </w:rPr>
                  </w:pPr>
                  <w:r>
                    <w:rPr>
                      <w:rFonts w:hint="eastAsia"/>
                      <w:color w:val="333333"/>
                      <w:sz w:val="21"/>
                      <w:szCs w:val="21"/>
                    </w:rPr>
                    <w:t>华润置地控股：0-5%；城投发展：0-5%，各方合计：0-5%</w:t>
                  </w:r>
                </w:p>
              </w:tc>
            </w:tr>
          </w:tbl>
          <w:p>
            <w:pPr>
              <w:pStyle w:val="3"/>
              <w:adjustRightInd w:val="0"/>
              <w:snapToGrid w:val="0"/>
              <w:spacing w:after="0"/>
              <w:rPr>
                <w:rFonts w:hint="eastAsia" w:cs="Times New Roman"/>
                <w:b/>
                <w:color w:val="000000"/>
                <w:sz w:val="21"/>
                <w:szCs w:val="21"/>
                <w:lang w:eastAsia="zh-CN"/>
              </w:rPr>
            </w:pPr>
          </w:p>
          <w:p>
            <w:pPr>
              <w:pStyle w:val="3"/>
              <w:adjustRightInd w:val="0"/>
              <w:snapToGrid w:val="0"/>
              <w:spacing w:after="0"/>
              <w:rPr>
                <w:rFonts w:hint="eastAsia" w:cs="Times New Roman"/>
                <w:b/>
                <w:color w:val="000000"/>
                <w:sz w:val="21"/>
                <w:szCs w:val="21"/>
                <w:lang w:eastAsia="zh-CN"/>
              </w:rPr>
            </w:pPr>
            <w:r>
              <w:rPr>
                <w:rFonts w:hint="eastAsia" w:cs="Times New Roman"/>
                <w:b/>
                <w:color w:val="000000"/>
                <w:sz w:val="21"/>
                <w:szCs w:val="21"/>
                <w:lang w:eastAsia="zh-CN"/>
              </w:rPr>
              <w:t>纵向关联</w:t>
            </w:r>
            <w:r>
              <w:rPr>
                <w:rFonts w:cs="Times New Roman"/>
                <w:b/>
                <w:color w:val="000000"/>
                <w:sz w:val="21"/>
                <w:szCs w:val="21"/>
                <w:lang w:eastAsia="zh-CN"/>
              </w:rPr>
              <w:t>：</w:t>
            </w:r>
          </w:p>
          <w:tbl>
            <w:tblPr>
              <w:tblStyle w:val="4"/>
              <w:tblW w:w="754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2"/>
              <w:gridCol w:w="1699"/>
              <w:gridCol w:w="31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2" w:type="dxa"/>
                  <w:noWrap w:val="0"/>
                  <w:vAlign w:val="top"/>
                </w:tcPr>
                <w:p>
                  <w:pPr>
                    <w:adjustRightInd w:val="0"/>
                    <w:snapToGrid w:val="0"/>
                    <w:spacing w:after="0"/>
                    <w:jc w:val="center"/>
                    <w:rPr>
                      <w:bCs/>
                      <w:color w:val="000000"/>
                      <w:sz w:val="21"/>
                      <w:szCs w:val="21"/>
                      <w:lang w:val="en-US"/>
                    </w:rPr>
                  </w:pPr>
                  <w:r>
                    <w:rPr>
                      <w:bCs/>
                      <w:color w:val="000000"/>
                      <w:sz w:val="21"/>
                      <w:szCs w:val="21"/>
                      <w:lang w:val="en-US"/>
                    </w:rPr>
                    <w:t>相关商品市场</w:t>
                  </w:r>
                </w:p>
              </w:tc>
              <w:tc>
                <w:tcPr>
                  <w:tcW w:w="1699" w:type="dxa"/>
                  <w:noWrap w:val="0"/>
                  <w:vAlign w:val="top"/>
                </w:tcPr>
                <w:p>
                  <w:pPr>
                    <w:adjustRightInd w:val="0"/>
                    <w:snapToGrid w:val="0"/>
                    <w:spacing w:after="0"/>
                    <w:jc w:val="center"/>
                    <w:rPr>
                      <w:bCs/>
                      <w:color w:val="000000"/>
                      <w:sz w:val="21"/>
                      <w:szCs w:val="21"/>
                      <w:lang w:val="en-US"/>
                    </w:rPr>
                  </w:pPr>
                  <w:r>
                    <w:rPr>
                      <w:bCs/>
                      <w:color w:val="000000"/>
                      <w:sz w:val="21"/>
                      <w:szCs w:val="21"/>
                      <w:lang w:val="en-US"/>
                    </w:rPr>
                    <w:t>相关地域市场</w:t>
                  </w:r>
                </w:p>
              </w:tc>
              <w:tc>
                <w:tcPr>
                  <w:tcW w:w="3185" w:type="dxa"/>
                  <w:noWrap w:val="0"/>
                  <w:vAlign w:val="top"/>
                </w:tcPr>
                <w:p>
                  <w:pPr>
                    <w:adjustRightInd w:val="0"/>
                    <w:snapToGrid w:val="0"/>
                    <w:spacing w:after="0"/>
                    <w:jc w:val="center"/>
                    <w:rPr>
                      <w:bCs/>
                      <w:color w:val="000000"/>
                      <w:sz w:val="21"/>
                      <w:szCs w:val="21"/>
                      <w:lang w:val="en-US"/>
                    </w:rPr>
                  </w:pPr>
                  <w:r>
                    <w:rPr>
                      <w:bCs/>
                      <w:color w:val="000000"/>
                      <w:sz w:val="21"/>
                      <w:szCs w:val="21"/>
                      <w:lang w:val="en-US"/>
                    </w:rPr>
                    <w:t>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2" w:type="dxa"/>
                  <w:noWrap w:val="0"/>
                  <w:vAlign w:val="top"/>
                </w:tcPr>
                <w:p>
                  <w:pPr>
                    <w:adjustRightInd w:val="0"/>
                    <w:snapToGrid w:val="0"/>
                    <w:spacing w:after="0"/>
                    <w:rPr>
                      <w:bCs/>
                      <w:color w:val="000000"/>
                      <w:sz w:val="21"/>
                      <w:szCs w:val="21"/>
                      <w:lang w:val="en-US"/>
                    </w:rPr>
                  </w:pPr>
                  <w:r>
                    <w:rPr>
                      <w:rFonts w:hint="eastAsia"/>
                      <w:bCs/>
                      <w:color w:val="000000"/>
                      <w:sz w:val="21"/>
                      <w:szCs w:val="21"/>
                      <w:lang w:val="en-US"/>
                    </w:rPr>
                    <w:t>上游：房屋建筑工程施工服务市场</w:t>
                  </w:r>
                </w:p>
                <w:p>
                  <w:pPr>
                    <w:adjustRightInd w:val="0"/>
                    <w:snapToGrid w:val="0"/>
                    <w:spacing w:after="0"/>
                    <w:rPr>
                      <w:bCs/>
                      <w:color w:val="000000"/>
                      <w:sz w:val="21"/>
                      <w:szCs w:val="21"/>
                      <w:lang w:val="en-US"/>
                    </w:rPr>
                  </w:pPr>
                </w:p>
                <w:p>
                  <w:pPr>
                    <w:adjustRightInd w:val="0"/>
                    <w:snapToGrid w:val="0"/>
                    <w:spacing w:after="0"/>
                    <w:rPr>
                      <w:rFonts w:hint="eastAsia"/>
                      <w:bCs/>
                      <w:color w:val="000000"/>
                      <w:sz w:val="21"/>
                      <w:szCs w:val="21"/>
                      <w:lang w:val="en-US"/>
                    </w:rPr>
                  </w:pPr>
                  <w:r>
                    <w:rPr>
                      <w:rFonts w:hint="eastAsia"/>
                      <w:bCs/>
                      <w:color w:val="000000"/>
                      <w:sz w:val="21"/>
                      <w:szCs w:val="21"/>
                      <w:lang w:val="en-US"/>
                    </w:rPr>
                    <w:t>下游：商品住宅开发和销售市场、大型零售商业地产开发和运营市场、写字楼开发和运营市场</w:t>
                  </w:r>
                </w:p>
              </w:tc>
              <w:tc>
                <w:tcPr>
                  <w:tcW w:w="1699" w:type="dxa"/>
                  <w:noWrap w:val="0"/>
                  <w:vAlign w:val="top"/>
                </w:tcPr>
                <w:p>
                  <w:pPr>
                    <w:adjustRightInd w:val="0"/>
                    <w:snapToGrid w:val="0"/>
                    <w:spacing w:after="0"/>
                    <w:rPr>
                      <w:bCs/>
                      <w:color w:val="000000"/>
                      <w:sz w:val="21"/>
                      <w:szCs w:val="21"/>
                      <w:lang w:val="en-US"/>
                    </w:rPr>
                  </w:pPr>
                  <w:r>
                    <w:rPr>
                      <w:rFonts w:hint="eastAsia"/>
                      <w:bCs/>
                      <w:color w:val="000000"/>
                      <w:sz w:val="21"/>
                      <w:szCs w:val="21"/>
                      <w:lang w:val="en-US"/>
                    </w:rPr>
                    <w:t>上游：中国境内</w:t>
                  </w:r>
                </w:p>
                <w:p>
                  <w:pPr>
                    <w:adjustRightInd w:val="0"/>
                    <w:snapToGrid w:val="0"/>
                    <w:spacing w:after="0"/>
                    <w:rPr>
                      <w:bCs/>
                      <w:color w:val="000000"/>
                      <w:sz w:val="21"/>
                      <w:szCs w:val="21"/>
                      <w:lang w:val="en-US"/>
                    </w:rPr>
                  </w:pPr>
                </w:p>
                <w:p>
                  <w:pPr>
                    <w:adjustRightInd w:val="0"/>
                    <w:snapToGrid w:val="0"/>
                    <w:spacing w:after="0"/>
                    <w:rPr>
                      <w:rFonts w:hint="eastAsia"/>
                      <w:bCs/>
                      <w:color w:val="000000"/>
                      <w:sz w:val="21"/>
                      <w:szCs w:val="21"/>
                      <w:lang w:val="en-US"/>
                    </w:rPr>
                  </w:pPr>
                </w:p>
                <w:p>
                  <w:pPr>
                    <w:adjustRightInd w:val="0"/>
                    <w:snapToGrid w:val="0"/>
                    <w:spacing w:after="0"/>
                    <w:rPr>
                      <w:rFonts w:hint="eastAsia"/>
                      <w:bCs/>
                      <w:color w:val="000000"/>
                      <w:sz w:val="21"/>
                      <w:szCs w:val="21"/>
                      <w:lang w:val="en-US"/>
                    </w:rPr>
                  </w:pPr>
                  <w:r>
                    <w:rPr>
                      <w:rFonts w:hint="eastAsia"/>
                      <w:bCs/>
                      <w:color w:val="000000"/>
                      <w:sz w:val="21"/>
                      <w:szCs w:val="21"/>
                      <w:lang w:val="en-US"/>
                    </w:rPr>
                    <w:t>下游：广州市</w:t>
                  </w:r>
                </w:p>
              </w:tc>
              <w:tc>
                <w:tcPr>
                  <w:tcW w:w="3185" w:type="dxa"/>
                  <w:noWrap w:val="0"/>
                  <w:vAlign w:val="top"/>
                </w:tcPr>
                <w:p>
                  <w:pPr>
                    <w:adjustRightInd w:val="0"/>
                    <w:snapToGrid w:val="0"/>
                    <w:spacing w:after="0"/>
                    <w:rPr>
                      <w:bCs/>
                      <w:color w:val="000000"/>
                      <w:sz w:val="21"/>
                      <w:szCs w:val="21"/>
                      <w:lang w:val="en-US"/>
                    </w:rPr>
                  </w:pPr>
                  <w:r>
                    <w:rPr>
                      <w:rFonts w:hint="eastAsia"/>
                      <w:bCs/>
                      <w:color w:val="000000"/>
                      <w:sz w:val="21"/>
                      <w:szCs w:val="21"/>
                      <w:lang w:val="en-US"/>
                    </w:rPr>
                    <w:t>上游：华润置地控股、城投发展：如上所述</w:t>
                  </w:r>
                </w:p>
                <w:p>
                  <w:pPr>
                    <w:adjustRightInd w:val="0"/>
                    <w:snapToGrid w:val="0"/>
                    <w:spacing w:after="0"/>
                    <w:rPr>
                      <w:bCs/>
                      <w:color w:val="000000"/>
                      <w:sz w:val="21"/>
                      <w:szCs w:val="21"/>
                      <w:lang w:val="en-US"/>
                    </w:rPr>
                  </w:pPr>
                </w:p>
                <w:p>
                  <w:pPr>
                    <w:adjustRightInd w:val="0"/>
                    <w:snapToGrid w:val="0"/>
                    <w:spacing w:after="0"/>
                    <w:rPr>
                      <w:rFonts w:hint="eastAsia"/>
                      <w:bCs/>
                      <w:color w:val="000000"/>
                      <w:sz w:val="21"/>
                      <w:szCs w:val="21"/>
                      <w:lang w:val="en-US"/>
                    </w:rPr>
                  </w:pPr>
                  <w:r>
                    <w:rPr>
                      <w:rFonts w:hint="eastAsia"/>
                      <w:bCs/>
                      <w:color w:val="000000"/>
                      <w:sz w:val="21"/>
                      <w:szCs w:val="21"/>
                      <w:lang w:val="en-US"/>
                    </w:rPr>
                    <w:t>下游：华润置地控股、城投发展、合营企业：如上所述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2" w:type="dxa"/>
                  <w:noWrap w:val="0"/>
                  <w:vAlign w:val="top"/>
                </w:tcPr>
                <w:p>
                  <w:pPr>
                    <w:adjustRightInd w:val="0"/>
                    <w:snapToGrid w:val="0"/>
                    <w:spacing w:after="0"/>
                    <w:rPr>
                      <w:bCs/>
                      <w:color w:val="000000"/>
                      <w:sz w:val="21"/>
                      <w:szCs w:val="21"/>
                      <w:lang w:val="en-US"/>
                    </w:rPr>
                  </w:pPr>
                  <w:r>
                    <w:rPr>
                      <w:rFonts w:hint="eastAsia"/>
                      <w:bCs/>
                      <w:color w:val="000000"/>
                      <w:sz w:val="21"/>
                      <w:szCs w:val="21"/>
                      <w:lang w:val="en-US"/>
                    </w:rPr>
                    <w:t>上游：住宅物业管理服务市场</w:t>
                  </w:r>
                </w:p>
                <w:p>
                  <w:pPr>
                    <w:adjustRightInd w:val="0"/>
                    <w:snapToGrid w:val="0"/>
                    <w:spacing w:after="0"/>
                    <w:rPr>
                      <w:bCs/>
                      <w:color w:val="000000"/>
                      <w:sz w:val="21"/>
                      <w:szCs w:val="21"/>
                      <w:lang w:val="en-US"/>
                    </w:rPr>
                  </w:pPr>
                </w:p>
                <w:p>
                  <w:pPr>
                    <w:adjustRightInd w:val="0"/>
                    <w:snapToGrid w:val="0"/>
                    <w:spacing w:after="0"/>
                    <w:rPr>
                      <w:rFonts w:hint="eastAsia"/>
                      <w:bCs/>
                      <w:color w:val="000000"/>
                      <w:sz w:val="21"/>
                      <w:szCs w:val="21"/>
                      <w:lang w:val="en-US"/>
                    </w:rPr>
                  </w:pPr>
                  <w:r>
                    <w:rPr>
                      <w:rFonts w:hint="eastAsia"/>
                      <w:bCs/>
                      <w:color w:val="000000"/>
                      <w:sz w:val="21"/>
                      <w:szCs w:val="21"/>
                      <w:lang w:val="en-US"/>
                    </w:rPr>
                    <w:t>下游：商品住宅开发和销售市场</w:t>
                  </w:r>
                </w:p>
              </w:tc>
              <w:tc>
                <w:tcPr>
                  <w:tcW w:w="1699" w:type="dxa"/>
                  <w:noWrap w:val="0"/>
                  <w:vAlign w:val="top"/>
                </w:tcPr>
                <w:p>
                  <w:pPr>
                    <w:adjustRightInd w:val="0"/>
                    <w:snapToGrid w:val="0"/>
                    <w:spacing w:after="0"/>
                    <w:rPr>
                      <w:bCs/>
                      <w:color w:val="000000"/>
                      <w:sz w:val="21"/>
                      <w:szCs w:val="21"/>
                      <w:lang w:val="en-US"/>
                    </w:rPr>
                  </w:pPr>
                  <w:r>
                    <w:rPr>
                      <w:rFonts w:hint="eastAsia"/>
                      <w:bCs/>
                      <w:color w:val="000000"/>
                      <w:sz w:val="21"/>
                      <w:szCs w:val="21"/>
                      <w:lang w:val="en-US"/>
                    </w:rPr>
                    <w:t>上游：广州市</w:t>
                  </w:r>
                </w:p>
                <w:p>
                  <w:pPr>
                    <w:adjustRightInd w:val="0"/>
                    <w:snapToGrid w:val="0"/>
                    <w:spacing w:after="0"/>
                    <w:rPr>
                      <w:bCs/>
                      <w:color w:val="000000"/>
                      <w:sz w:val="21"/>
                      <w:szCs w:val="21"/>
                      <w:lang w:val="en-US"/>
                    </w:rPr>
                  </w:pPr>
                </w:p>
                <w:p>
                  <w:pPr>
                    <w:adjustRightInd w:val="0"/>
                    <w:snapToGrid w:val="0"/>
                    <w:spacing w:after="0"/>
                    <w:rPr>
                      <w:bCs/>
                      <w:color w:val="000000"/>
                      <w:sz w:val="21"/>
                      <w:szCs w:val="21"/>
                      <w:lang w:val="en-US"/>
                    </w:rPr>
                  </w:pPr>
                </w:p>
                <w:p>
                  <w:pPr>
                    <w:adjustRightInd w:val="0"/>
                    <w:snapToGrid w:val="0"/>
                    <w:spacing w:after="0"/>
                    <w:rPr>
                      <w:rFonts w:hint="eastAsia"/>
                      <w:bCs/>
                      <w:color w:val="000000"/>
                      <w:sz w:val="21"/>
                      <w:szCs w:val="21"/>
                      <w:lang w:val="en-US"/>
                    </w:rPr>
                  </w:pPr>
                  <w:r>
                    <w:rPr>
                      <w:rFonts w:hint="eastAsia"/>
                      <w:bCs/>
                      <w:color w:val="000000"/>
                      <w:sz w:val="21"/>
                      <w:szCs w:val="21"/>
                      <w:lang w:val="en-US"/>
                    </w:rPr>
                    <w:t>下游：广州市</w:t>
                  </w:r>
                </w:p>
              </w:tc>
              <w:tc>
                <w:tcPr>
                  <w:tcW w:w="3185" w:type="dxa"/>
                  <w:noWrap w:val="0"/>
                  <w:vAlign w:val="top"/>
                </w:tcPr>
                <w:p>
                  <w:pPr>
                    <w:adjustRightInd w:val="0"/>
                    <w:snapToGrid w:val="0"/>
                    <w:spacing w:after="0"/>
                    <w:rPr>
                      <w:bCs/>
                      <w:color w:val="000000"/>
                      <w:sz w:val="21"/>
                      <w:szCs w:val="21"/>
                      <w:lang w:val="en-US"/>
                    </w:rPr>
                  </w:pPr>
                  <w:r>
                    <w:rPr>
                      <w:rFonts w:hint="eastAsia"/>
                      <w:bCs/>
                      <w:color w:val="000000"/>
                      <w:sz w:val="21"/>
                      <w:szCs w:val="21"/>
                      <w:lang w:val="en-US"/>
                    </w:rPr>
                    <w:t>上游：城投发展：2</w:t>
                  </w:r>
                  <w:r>
                    <w:rPr>
                      <w:bCs/>
                      <w:color w:val="000000"/>
                      <w:sz w:val="21"/>
                      <w:szCs w:val="21"/>
                      <w:lang w:val="en-US"/>
                    </w:rPr>
                    <w:t>022</w:t>
                  </w:r>
                  <w:r>
                    <w:rPr>
                      <w:rFonts w:hint="eastAsia"/>
                      <w:bCs/>
                      <w:color w:val="000000"/>
                      <w:sz w:val="21"/>
                      <w:szCs w:val="21"/>
                      <w:lang w:val="en-US"/>
                    </w:rPr>
                    <w:t>年：0-5%</w:t>
                  </w:r>
                </w:p>
                <w:p>
                  <w:pPr>
                    <w:adjustRightInd w:val="0"/>
                    <w:snapToGrid w:val="0"/>
                    <w:spacing w:after="0"/>
                    <w:rPr>
                      <w:rFonts w:hint="eastAsia"/>
                      <w:bCs/>
                      <w:color w:val="000000"/>
                      <w:sz w:val="21"/>
                      <w:szCs w:val="21"/>
                      <w:lang w:val="en-US"/>
                    </w:rPr>
                  </w:pPr>
                </w:p>
                <w:p>
                  <w:pPr>
                    <w:adjustRightInd w:val="0"/>
                    <w:snapToGrid w:val="0"/>
                    <w:spacing w:after="0"/>
                    <w:rPr>
                      <w:rFonts w:hint="eastAsia"/>
                      <w:bCs/>
                      <w:color w:val="000000"/>
                      <w:sz w:val="21"/>
                      <w:szCs w:val="21"/>
                      <w:lang w:val="en-US"/>
                    </w:rPr>
                  </w:pPr>
                  <w:r>
                    <w:rPr>
                      <w:rFonts w:hint="eastAsia"/>
                      <w:bCs/>
                      <w:color w:val="000000"/>
                      <w:sz w:val="21"/>
                      <w:szCs w:val="21"/>
                      <w:lang w:val="en-US"/>
                    </w:rPr>
                    <w:t>下游：华润置地控股、城投发展、合营企业：如上所述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2" w:type="dxa"/>
                  <w:noWrap w:val="0"/>
                  <w:vAlign w:val="top"/>
                </w:tcPr>
                <w:p>
                  <w:pPr>
                    <w:adjustRightInd w:val="0"/>
                    <w:snapToGrid w:val="0"/>
                    <w:spacing w:after="0"/>
                    <w:rPr>
                      <w:bCs/>
                      <w:color w:val="000000"/>
                      <w:sz w:val="21"/>
                      <w:szCs w:val="21"/>
                      <w:lang w:val="en-US"/>
                    </w:rPr>
                  </w:pPr>
                  <w:r>
                    <w:rPr>
                      <w:rFonts w:hint="eastAsia"/>
                      <w:bCs/>
                      <w:color w:val="000000"/>
                      <w:sz w:val="21"/>
                      <w:szCs w:val="21"/>
                      <w:lang w:val="en-US"/>
                    </w:rPr>
                    <w:t>上游：商业物业管理服务市场</w:t>
                  </w:r>
                </w:p>
                <w:p>
                  <w:pPr>
                    <w:adjustRightInd w:val="0"/>
                    <w:snapToGrid w:val="0"/>
                    <w:spacing w:after="0"/>
                    <w:rPr>
                      <w:bCs/>
                      <w:color w:val="000000"/>
                      <w:sz w:val="21"/>
                      <w:szCs w:val="21"/>
                      <w:lang w:val="en-US"/>
                    </w:rPr>
                  </w:pPr>
                </w:p>
                <w:p>
                  <w:pPr>
                    <w:adjustRightInd w:val="0"/>
                    <w:snapToGrid w:val="0"/>
                    <w:spacing w:after="0"/>
                    <w:rPr>
                      <w:rFonts w:hint="eastAsia"/>
                      <w:bCs/>
                      <w:color w:val="000000"/>
                      <w:sz w:val="21"/>
                      <w:szCs w:val="21"/>
                      <w:lang w:val="en-US"/>
                    </w:rPr>
                  </w:pPr>
                  <w:r>
                    <w:rPr>
                      <w:rFonts w:hint="eastAsia"/>
                      <w:bCs/>
                      <w:color w:val="000000"/>
                      <w:sz w:val="21"/>
                      <w:szCs w:val="21"/>
                      <w:lang w:val="en-US"/>
                    </w:rPr>
                    <w:t>下游：大型零售商业地产开发和运营市场、写字楼开发和运营市场</w:t>
                  </w:r>
                </w:p>
              </w:tc>
              <w:tc>
                <w:tcPr>
                  <w:tcW w:w="1699" w:type="dxa"/>
                  <w:noWrap w:val="0"/>
                  <w:vAlign w:val="top"/>
                </w:tcPr>
                <w:p>
                  <w:pPr>
                    <w:adjustRightInd w:val="0"/>
                    <w:snapToGrid w:val="0"/>
                    <w:spacing w:after="0"/>
                    <w:rPr>
                      <w:bCs/>
                      <w:color w:val="000000"/>
                      <w:sz w:val="21"/>
                      <w:szCs w:val="21"/>
                      <w:lang w:val="en-US"/>
                    </w:rPr>
                  </w:pPr>
                  <w:r>
                    <w:rPr>
                      <w:rFonts w:hint="eastAsia"/>
                      <w:bCs/>
                      <w:color w:val="000000"/>
                      <w:sz w:val="21"/>
                      <w:szCs w:val="21"/>
                      <w:lang w:val="en-US"/>
                    </w:rPr>
                    <w:t>上游：广州市</w:t>
                  </w:r>
                </w:p>
                <w:p>
                  <w:pPr>
                    <w:adjustRightInd w:val="0"/>
                    <w:snapToGrid w:val="0"/>
                    <w:spacing w:after="0"/>
                    <w:rPr>
                      <w:bCs/>
                      <w:color w:val="000000"/>
                      <w:sz w:val="21"/>
                      <w:szCs w:val="21"/>
                      <w:lang w:val="en-US"/>
                    </w:rPr>
                  </w:pPr>
                </w:p>
                <w:p>
                  <w:pPr>
                    <w:adjustRightInd w:val="0"/>
                    <w:snapToGrid w:val="0"/>
                    <w:spacing w:after="0"/>
                    <w:rPr>
                      <w:bCs/>
                      <w:color w:val="000000"/>
                      <w:sz w:val="21"/>
                      <w:szCs w:val="21"/>
                      <w:lang w:val="en-US"/>
                    </w:rPr>
                  </w:pPr>
                </w:p>
                <w:p>
                  <w:pPr>
                    <w:adjustRightInd w:val="0"/>
                    <w:snapToGrid w:val="0"/>
                    <w:spacing w:after="0"/>
                    <w:rPr>
                      <w:bCs/>
                      <w:color w:val="000000"/>
                      <w:sz w:val="21"/>
                      <w:szCs w:val="21"/>
                      <w:lang w:val="en-US"/>
                    </w:rPr>
                  </w:pPr>
                  <w:r>
                    <w:rPr>
                      <w:rFonts w:hint="eastAsia"/>
                      <w:bCs/>
                      <w:color w:val="000000"/>
                      <w:sz w:val="21"/>
                      <w:szCs w:val="21"/>
                      <w:lang w:val="en-US"/>
                    </w:rPr>
                    <w:t>下游：广州市</w:t>
                  </w:r>
                </w:p>
              </w:tc>
              <w:tc>
                <w:tcPr>
                  <w:tcW w:w="3185" w:type="dxa"/>
                  <w:noWrap w:val="0"/>
                  <w:vAlign w:val="top"/>
                </w:tcPr>
                <w:p>
                  <w:pPr>
                    <w:adjustRightInd w:val="0"/>
                    <w:snapToGrid w:val="0"/>
                    <w:spacing w:after="0"/>
                    <w:rPr>
                      <w:bCs/>
                      <w:color w:val="000000"/>
                      <w:sz w:val="21"/>
                      <w:szCs w:val="21"/>
                      <w:lang w:val="en-US"/>
                    </w:rPr>
                  </w:pPr>
                  <w:r>
                    <w:rPr>
                      <w:rFonts w:hint="eastAsia"/>
                      <w:bCs/>
                      <w:color w:val="000000"/>
                      <w:sz w:val="21"/>
                      <w:szCs w:val="21"/>
                      <w:lang w:val="en-US"/>
                    </w:rPr>
                    <w:t>上游：城投发展：2</w:t>
                  </w:r>
                  <w:r>
                    <w:rPr>
                      <w:bCs/>
                      <w:color w:val="000000"/>
                      <w:sz w:val="21"/>
                      <w:szCs w:val="21"/>
                      <w:lang w:val="en-US"/>
                    </w:rPr>
                    <w:t>022</w:t>
                  </w:r>
                  <w:r>
                    <w:rPr>
                      <w:rFonts w:hint="eastAsia"/>
                      <w:bCs/>
                      <w:color w:val="000000"/>
                      <w:sz w:val="21"/>
                      <w:szCs w:val="21"/>
                      <w:lang w:val="en-US"/>
                    </w:rPr>
                    <w:t>年：0-5%</w:t>
                  </w:r>
                </w:p>
                <w:p>
                  <w:pPr>
                    <w:adjustRightInd w:val="0"/>
                    <w:snapToGrid w:val="0"/>
                    <w:spacing w:after="0"/>
                    <w:rPr>
                      <w:rFonts w:hint="eastAsia"/>
                      <w:bCs/>
                      <w:color w:val="000000"/>
                      <w:sz w:val="21"/>
                      <w:szCs w:val="21"/>
                      <w:lang w:val="en-US"/>
                    </w:rPr>
                  </w:pPr>
                </w:p>
                <w:p>
                  <w:pPr>
                    <w:adjustRightInd w:val="0"/>
                    <w:snapToGrid w:val="0"/>
                    <w:spacing w:after="0"/>
                    <w:rPr>
                      <w:rFonts w:hint="eastAsia"/>
                      <w:bCs/>
                      <w:color w:val="000000"/>
                      <w:sz w:val="21"/>
                      <w:szCs w:val="21"/>
                      <w:lang w:val="en-US"/>
                    </w:rPr>
                  </w:pPr>
                  <w:r>
                    <w:rPr>
                      <w:rFonts w:hint="eastAsia"/>
                      <w:bCs/>
                      <w:color w:val="000000"/>
                      <w:sz w:val="21"/>
                      <w:szCs w:val="21"/>
                      <w:lang w:val="en-US"/>
                    </w:rPr>
                    <w:t>下游：华润置地控股、城投发展、合营企业：如上所述</w:t>
                  </w:r>
                </w:p>
              </w:tc>
            </w:tr>
          </w:tbl>
          <w:p>
            <w:pPr>
              <w:pStyle w:val="3"/>
              <w:adjustRightInd w:val="0"/>
              <w:snapToGrid w:val="0"/>
              <w:spacing w:after="0"/>
              <w:rPr>
                <w:rFonts w:hint="eastAsia" w:cs="Times New Roman"/>
                <w:bCs/>
                <w:color w:val="000000"/>
                <w:sz w:val="21"/>
                <w:szCs w:val="21"/>
                <w:lang w:eastAsia="zh-CN"/>
              </w:rPr>
            </w:pPr>
          </w:p>
        </w:tc>
      </w:tr>
    </w:tbl>
    <w:p>
      <w:pPr>
        <w:pStyle w:val="3"/>
        <w:adjustRightInd w:val="0"/>
        <w:snapToGrid w:val="0"/>
        <w:spacing w:after="0"/>
        <w:rPr>
          <w:rFonts w:eastAsia="楷体_GB2312" w:cs="Times New Roman"/>
          <w:b/>
          <w:color w:val="000000"/>
          <w:sz w:val="22"/>
          <w:szCs w:val="22"/>
          <w:lang w:eastAsia="zh-CN"/>
        </w:rPr>
      </w:pPr>
    </w:p>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script"/>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E34E08"/>
    <w:rsid w:val="14E34E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spacing w:after="156" w:afterLines="50" w:line="640" w:lineRule="exact"/>
      <w:jc w:val="center"/>
      <w:outlineLvl w:val="0"/>
    </w:pPr>
    <w:rPr>
      <w:rFonts w:ascii="方正小标宋简体" w:eastAsia="方正小标宋简体"/>
      <w:kern w:val="0"/>
      <w:sz w:val="44"/>
      <w:szCs w:val="36"/>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Body Text"/>
    <w:basedOn w:val="1"/>
    <w:unhideWhenUsed/>
    <w:qFormat/>
    <w:uiPriority w:val="99"/>
    <w:pPr>
      <w:spacing w:after="12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其他省直机关单位</Company>
  <Pages>1</Pages>
  <Words>0</Words>
  <Characters>0</Characters>
  <Lines>0</Lines>
  <Paragraphs>0</Paragraphs>
  <TotalTime>0</TotalTime>
  <ScaleCrop>false</ScaleCrop>
  <LinksUpToDate>false</LinksUpToDate>
  <CharactersWithSpaces>0</CharactersWithSpaces>
  <Application>WPS Office_11.8.2.11718_F1E327BC-269C-435d-A152-05C5408002CA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2023-05-05T07:50:00Z</dcterms:created>
  <dc:creator>张斌（反垄断处）</dc:creator>
  <cp:lastModifiedBy>张斌（反垄断处）</cp:lastModifiedBy>
  <dcterms:modified xsi:type="dcterms:W3CDTF">2023-05-05T07:50:45Z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C5DC1882643D402097C815CF3BB6434A</vt:lpwstr>
  </property>
</Properties>
</file>