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312" w:afterLines="100" w:line="440" w:lineRule="exact"/>
        <w:jc w:val="center"/>
        <w:rPr>
          <w:rFonts w:ascii="黑体" w:hAnsi="黑体" w:eastAsia="黑体"/>
          <w:sz w:val="36"/>
          <w:szCs w:val="36"/>
        </w:rPr>
      </w:pPr>
      <w:r>
        <w:rPr>
          <w:rFonts w:ascii="黑体" w:hAnsi="黑体" w:eastAsia="黑体"/>
          <w:sz w:val="36"/>
          <w:szCs w:val="36"/>
        </w:rPr>
        <w:t>经营者集中简易案件公示表</w:t>
      </w:r>
    </w:p>
    <w:tbl>
      <w:tblPr>
        <w:tblStyle w:val="9"/>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jc w:val="center"/>
              <w:rPr>
                <w:rFonts w:ascii="宋体" w:hAnsi="宋体" w:eastAsia="宋体"/>
                <w:sz w:val="24"/>
              </w:rPr>
            </w:pPr>
            <w:r>
              <w:rPr>
                <w:rFonts w:ascii="宋体" w:hAnsi="宋体" w:eastAsia="宋体"/>
                <w:sz w:val="24"/>
              </w:rPr>
              <w:t>案件名称</w:t>
            </w:r>
          </w:p>
        </w:tc>
        <w:tc>
          <w:tcPr>
            <w:tcW w:w="6949" w:type="dxa"/>
            <w:gridSpan w:val="2"/>
          </w:tcPr>
          <w:p>
            <w:pPr>
              <w:pStyle w:val="2"/>
              <w:numPr>
                <w:ilvl w:val="0"/>
                <w:numId w:val="0"/>
              </w:numPr>
              <w:spacing w:after="0" w:afterLines="0"/>
              <w:jc w:val="both"/>
              <w:rPr>
                <w:rFonts w:ascii="宋体" w:hAnsi="宋体" w:eastAsia="宋体"/>
                <w:sz w:val="24"/>
              </w:rPr>
            </w:pPr>
            <w:r>
              <w:rPr>
                <w:rFonts w:hint="eastAsia" w:ascii="宋体" w:hAnsi="宋体" w:eastAsia="宋体"/>
                <w:bCs w:val="0"/>
                <w:kern w:val="2"/>
                <w:sz w:val="24"/>
                <w:szCs w:val="24"/>
                <w:lang w:eastAsia="zh-Hans"/>
              </w:rPr>
              <w:t>合肥海恒国际物流有限公司与中远海运物流发展有限公司新设合营企业案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1" w:hRule="atLeast"/>
        </w:trPr>
        <w:tc>
          <w:tcPr>
            <w:tcW w:w="1809" w:type="dxa"/>
            <w:shd w:val="clear" w:color="auto" w:fill="D9D9D9"/>
            <w:vAlign w:val="center"/>
          </w:tcPr>
          <w:p>
            <w:pPr>
              <w:rPr>
                <w:rFonts w:ascii="宋体" w:hAnsi="宋体" w:eastAsia="宋体"/>
                <w:sz w:val="24"/>
              </w:rPr>
            </w:pPr>
            <w:r>
              <w:rPr>
                <w:rFonts w:ascii="宋体" w:hAnsi="宋体" w:eastAsia="宋体"/>
                <w:sz w:val="24"/>
              </w:rPr>
              <w:t>交易概况（限200字内）</w:t>
            </w:r>
          </w:p>
        </w:tc>
        <w:tc>
          <w:tcPr>
            <w:tcW w:w="6949" w:type="dxa"/>
            <w:gridSpan w:val="2"/>
          </w:tcPr>
          <w:p>
            <w:pPr>
              <w:pStyle w:val="2"/>
              <w:numPr>
                <w:ilvl w:val="0"/>
                <w:numId w:val="0"/>
              </w:numPr>
              <w:spacing w:after="0" w:afterLines="0"/>
              <w:jc w:val="both"/>
              <w:rPr>
                <w:rFonts w:ascii="宋体" w:hAnsi="宋体" w:eastAsia="宋体"/>
                <w:bCs w:val="0"/>
                <w:kern w:val="2"/>
                <w:sz w:val="24"/>
                <w:szCs w:val="24"/>
              </w:rPr>
            </w:pPr>
            <w:r>
              <w:rPr>
                <w:rFonts w:hint="eastAsia" w:ascii="宋体" w:hAnsi="宋体" w:eastAsia="宋体"/>
                <w:bCs w:val="0"/>
                <w:kern w:val="2"/>
                <w:sz w:val="24"/>
                <w:szCs w:val="24"/>
                <w:lang w:eastAsia="zh-Hans"/>
              </w:rPr>
              <w:t>合肥海恒国际物流有限公司（“海恒物流”）与中远海运物流发展有限公司（“中远海物发”）签署协议新设合营企业。</w:t>
            </w:r>
            <w:r>
              <w:rPr>
                <w:rFonts w:hint="eastAsia" w:ascii="宋体" w:hAnsi="宋体" w:eastAsia="宋体"/>
                <w:bCs w:val="0"/>
                <w:kern w:val="2"/>
                <w:sz w:val="24"/>
                <w:szCs w:val="24"/>
              </w:rPr>
              <w:t>合营</w:t>
            </w:r>
            <w:r>
              <w:rPr>
                <w:rFonts w:hint="eastAsia" w:ascii="宋体" w:hAnsi="宋体" w:eastAsia="宋体"/>
                <w:bCs w:val="0"/>
                <w:kern w:val="2"/>
                <w:sz w:val="24"/>
                <w:szCs w:val="24"/>
                <w:lang w:eastAsia="zh-Hans"/>
              </w:rPr>
              <w:t>后，海恒物流持股55%，中远海物发持股45%</w:t>
            </w:r>
            <w:r>
              <w:rPr>
                <w:rFonts w:hint="eastAsia" w:ascii="宋体" w:hAnsi="宋体" w:eastAsia="宋体"/>
                <w:bCs w:val="0"/>
                <w:kern w:val="2"/>
                <w:sz w:val="24"/>
                <w:szCs w:val="24"/>
                <w:lang w:eastAsia="zh-CN"/>
              </w:rPr>
              <w:t>，共同控制合营企业</w:t>
            </w:r>
            <w:r>
              <w:rPr>
                <w:rFonts w:hint="eastAsia" w:ascii="宋体" w:hAnsi="宋体" w:eastAsia="宋体"/>
                <w:bCs w:val="0"/>
                <w:kern w:val="2"/>
                <w:sz w:val="24"/>
                <w:szCs w:val="24"/>
                <w:lang w:eastAsia="zh-Hans"/>
              </w:rPr>
              <w:t>。</w:t>
            </w:r>
            <w:r>
              <w:rPr>
                <w:rFonts w:hint="eastAsia" w:ascii="宋体" w:hAnsi="宋体" w:eastAsia="宋体"/>
                <w:bCs w:val="0"/>
                <w:kern w:val="2"/>
                <w:sz w:val="24"/>
                <w:szCs w:val="24"/>
              </w:rPr>
              <w:t>新设合营企业拟从事</w:t>
            </w:r>
            <w:r>
              <w:rPr>
                <w:rFonts w:hint="eastAsia" w:ascii="宋体" w:hAnsi="宋体" w:eastAsia="宋体"/>
                <w:bCs w:val="0"/>
                <w:kern w:val="2"/>
                <w:sz w:val="24"/>
                <w:szCs w:val="24"/>
                <w:lang w:eastAsia="zh-Hans"/>
              </w:rPr>
              <w:t>合肥市</w:t>
            </w:r>
            <w:r>
              <w:rPr>
                <w:rFonts w:hint="eastAsia" w:ascii="宋体" w:hAnsi="宋体" w:eastAsia="宋体"/>
                <w:bCs w:val="0"/>
                <w:kern w:val="2"/>
                <w:sz w:val="24"/>
                <w:szCs w:val="24"/>
              </w:rPr>
              <w:t>危险化学品仓储服务方面的业务。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5" w:hRule="exact"/>
        </w:trPr>
        <w:tc>
          <w:tcPr>
            <w:tcW w:w="1809" w:type="dxa"/>
            <w:vMerge w:val="restart"/>
            <w:shd w:val="clear" w:color="auto" w:fill="D9D9D9"/>
            <w:vAlign w:val="center"/>
          </w:tcPr>
          <w:p>
            <w:pPr>
              <w:rPr>
                <w:rFonts w:ascii="宋体" w:hAnsi="宋体" w:eastAsia="宋体"/>
                <w:sz w:val="24"/>
              </w:rPr>
            </w:pPr>
            <w:r>
              <w:rPr>
                <w:rFonts w:ascii="宋体" w:hAnsi="宋体" w:eastAsia="宋体"/>
                <w:sz w:val="24"/>
              </w:rPr>
              <w:t>参与集中的经营者简介</w:t>
            </w:r>
            <w:r>
              <w:rPr>
                <w:rFonts w:hint="eastAsia" w:ascii="宋体" w:hAnsi="宋体" w:eastAsia="宋体" w:cs="宋体"/>
                <w:bCs/>
                <w:color w:val="000000"/>
                <w:sz w:val="24"/>
                <w:lang w:val="en-GB"/>
              </w:rPr>
              <w:t>（每个限</w:t>
            </w:r>
            <w:r>
              <w:rPr>
                <w:rFonts w:hint="eastAsia" w:ascii="宋体" w:hAnsi="宋体" w:eastAsia="宋体" w:cs="宋体"/>
                <w:bCs/>
                <w:color w:val="000000"/>
                <w:sz w:val="24"/>
              </w:rPr>
              <w:t>100字以内</w:t>
            </w:r>
            <w:r>
              <w:rPr>
                <w:rFonts w:hint="eastAsia" w:ascii="宋体" w:hAnsi="宋体" w:eastAsia="宋体" w:cs="宋体"/>
                <w:bCs/>
                <w:color w:val="000000"/>
                <w:sz w:val="24"/>
                <w:lang w:val="en-GB"/>
              </w:rPr>
              <w:t>）</w:t>
            </w:r>
          </w:p>
        </w:tc>
        <w:tc>
          <w:tcPr>
            <w:tcW w:w="1796" w:type="dxa"/>
            <w:vAlign w:val="center"/>
          </w:tcPr>
          <w:p>
            <w:pPr>
              <w:pStyle w:val="12"/>
              <w:numPr>
                <w:ilvl w:val="0"/>
                <w:numId w:val="2"/>
              </w:numPr>
              <w:spacing w:before="156" w:beforeLines="50" w:after="156" w:afterLines="50" w:line="360" w:lineRule="auto"/>
              <w:ind w:firstLineChars="0"/>
              <w:jc w:val="center"/>
              <w:rPr>
                <w:rFonts w:ascii="宋体" w:hAnsi="宋体" w:eastAsia="宋体"/>
                <w:sz w:val="24"/>
              </w:rPr>
            </w:pPr>
            <w:r>
              <w:rPr>
                <w:rFonts w:hint="eastAsia" w:ascii="宋体" w:hAnsi="宋体" w:eastAsia="宋体"/>
                <w:sz w:val="24"/>
              </w:rPr>
              <w:t>海恒物流</w:t>
            </w:r>
          </w:p>
        </w:tc>
        <w:tc>
          <w:tcPr>
            <w:tcW w:w="5153" w:type="dxa"/>
          </w:tcPr>
          <w:p>
            <w:pPr>
              <w:pStyle w:val="2"/>
              <w:numPr>
                <w:ilvl w:val="0"/>
                <w:numId w:val="0"/>
              </w:numPr>
              <w:spacing w:after="0" w:afterLines="0"/>
              <w:jc w:val="both"/>
              <w:rPr>
                <w:rFonts w:ascii="宋体" w:hAnsi="宋体" w:eastAsia="宋体"/>
                <w:bCs w:val="0"/>
                <w:kern w:val="2"/>
                <w:sz w:val="24"/>
                <w:szCs w:val="24"/>
                <w:lang w:eastAsia="zh-Hans"/>
              </w:rPr>
            </w:pPr>
            <w:r>
              <w:rPr>
                <w:rFonts w:hint="eastAsia" w:ascii="宋体" w:hAnsi="宋体" w:eastAsia="宋体"/>
                <w:bCs w:val="0"/>
                <w:kern w:val="2"/>
                <w:sz w:val="24"/>
                <w:szCs w:val="24"/>
                <w:lang w:eastAsia="zh-Hans"/>
              </w:rPr>
              <w:t>海恒物流于2018年</w:t>
            </w:r>
            <w:r>
              <w:rPr>
                <w:rFonts w:ascii="宋体" w:hAnsi="宋体" w:eastAsia="宋体"/>
                <w:bCs w:val="0"/>
                <w:kern w:val="2"/>
                <w:sz w:val="24"/>
                <w:szCs w:val="24"/>
                <w:lang w:eastAsia="zh-Hans"/>
              </w:rPr>
              <w:t>8</w:t>
            </w:r>
            <w:r>
              <w:rPr>
                <w:rFonts w:hint="eastAsia" w:ascii="宋体" w:hAnsi="宋体" w:eastAsia="宋体"/>
                <w:bCs w:val="0"/>
                <w:kern w:val="2"/>
                <w:sz w:val="24"/>
                <w:szCs w:val="24"/>
                <w:lang w:eastAsia="zh-Hans"/>
              </w:rPr>
              <w:t>月29日成立于中国安徽省，海恒物流主要从事仓储（除危险品）、物业服务；基础设施投资与运营管理业务。</w:t>
            </w:r>
          </w:p>
          <w:p>
            <w:pPr>
              <w:pStyle w:val="2"/>
              <w:numPr>
                <w:ilvl w:val="0"/>
                <w:numId w:val="0"/>
              </w:numPr>
              <w:spacing w:after="0" w:afterLines="0"/>
              <w:jc w:val="both"/>
              <w:rPr>
                <w:rFonts w:ascii="宋体" w:hAnsi="宋体" w:eastAsia="宋体"/>
                <w:bCs w:val="0"/>
                <w:kern w:val="2"/>
                <w:sz w:val="24"/>
                <w:szCs w:val="24"/>
              </w:rPr>
            </w:pPr>
            <w:r>
              <w:rPr>
                <w:rFonts w:hint="eastAsia" w:ascii="宋体" w:hAnsi="宋体" w:eastAsia="宋体"/>
                <w:bCs w:val="0"/>
                <w:kern w:val="2"/>
                <w:sz w:val="24"/>
                <w:szCs w:val="24"/>
                <w:lang w:eastAsia="zh-Hans"/>
              </w:rPr>
              <w:t>海恒物流的最终控制人是</w:t>
            </w:r>
            <w:bookmarkStart w:id="0" w:name="OLE_LINK46"/>
            <w:r>
              <w:rPr>
                <w:rFonts w:ascii="宋体" w:hAnsi="宋体" w:eastAsia="宋体"/>
                <w:bCs w:val="0"/>
                <w:kern w:val="2"/>
                <w:sz w:val="24"/>
                <w:szCs w:val="24"/>
                <w:lang w:eastAsia="zh-Hans"/>
              </w:rPr>
              <w:t>合肥海恒控股集团有限公司</w:t>
            </w:r>
            <w:bookmarkEnd w:id="0"/>
            <w:r>
              <w:rPr>
                <w:rFonts w:hint="eastAsia" w:ascii="宋体" w:hAnsi="宋体" w:eastAsia="宋体"/>
                <w:bCs w:val="0"/>
                <w:kern w:val="2"/>
                <w:sz w:val="24"/>
                <w:szCs w:val="24"/>
                <w:lang w:eastAsia="zh-Hans"/>
              </w:rPr>
              <w:t>，主要业务</w:t>
            </w:r>
            <w:bookmarkStart w:id="1" w:name="OLE_LINK47"/>
            <w:r>
              <w:rPr>
                <w:rFonts w:hint="eastAsia" w:ascii="宋体" w:hAnsi="宋体" w:eastAsia="宋体"/>
                <w:bCs w:val="0"/>
                <w:kern w:val="2"/>
                <w:sz w:val="24"/>
                <w:szCs w:val="24"/>
                <w:lang w:eastAsia="zh-Hans"/>
              </w:rPr>
              <w:t>为创新、科技类产业园、开发建设投资、金融投资项目、公租房建设管理、文化旅游等。</w:t>
            </w:r>
            <w:bookmarkEnd w:id="1"/>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5" w:hRule="exact"/>
        </w:trPr>
        <w:tc>
          <w:tcPr>
            <w:tcW w:w="1809" w:type="dxa"/>
            <w:vMerge w:val="continue"/>
            <w:shd w:val="clear" w:color="auto" w:fill="D9D9D9"/>
          </w:tcPr>
          <w:p>
            <w:pPr>
              <w:rPr>
                <w:rFonts w:ascii="宋体" w:hAnsi="宋体" w:eastAsia="宋体"/>
                <w:sz w:val="24"/>
              </w:rPr>
            </w:pPr>
          </w:p>
        </w:tc>
        <w:tc>
          <w:tcPr>
            <w:tcW w:w="1796" w:type="dxa"/>
            <w:vAlign w:val="center"/>
          </w:tcPr>
          <w:p>
            <w:pPr>
              <w:pStyle w:val="12"/>
              <w:numPr>
                <w:ilvl w:val="0"/>
                <w:numId w:val="2"/>
              </w:numPr>
              <w:spacing w:before="156" w:beforeLines="50" w:after="156" w:afterLines="50" w:line="360" w:lineRule="auto"/>
              <w:ind w:firstLineChars="0"/>
              <w:jc w:val="center"/>
              <w:rPr>
                <w:rFonts w:ascii="宋体" w:hAnsi="宋体" w:eastAsia="宋体"/>
                <w:sz w:val="24"/>
              </w:rPr>
            </w:pPr>
            <w:bookmarkStart w:id="2" w:name="OLE_LINK25"/>
            <w:r>
              <w:rPr>
                <w:rFonts w:hint="eastAsia" w:ascii="宋体" w:hAnsi="宋体" w:eastAsia="宋体"/>
                <w:sz w:val="24"/>
              </w:rPr>
              <w:t>中远海物发</w:t>
            </w:r>
            <w:bookmarkEnd w:id="2"/>
          </w:p>
        </w:tc>
        <w:tc>
          <w:tcPr>
            <w:tcW w:w="5153" w:type="dxa"/>
          </w:tcPr>
          <w:p>
            <w:pPr>
              <w:pStyle w:val="2"/>
              <w:numPr>
                <w:ilvl w:val="0"/>
                <w:numId w:val="0"/>
              </w:numPr>
              <w:spacing w:after="0" w:afterLines="0"/>
              <w:jc w:val="both"/>
              <w:rPr>
                <w:rFonts w:ascii="宋体" w:hAnsi="宋体" w:eastAsia="宋体"/>
                <w:bCs w:val="0"/>
                <w:kern w:val="2"/>
                <w:sz w:val="24"/>
                <w:szCs w:val="24"/>
                <w:lang w:eastAsia="zh-Hans"/>
              </w:rPr>
            </w:pPr>
            <w:r>
              <w:rPr>
                <w:rFonts w:hint="eastAsia" w:ascii="宋体" w:hAnsi="宋体" w:eastAsia="宋体"/>
                <w:bCs w:val="0"/>
                <w:kern w:val="2"/>
                <w:sz w:val="24"/>
                <w:szCs w:val="24"/>
                <w:lang w:eastAsia="zh-Hans"/>
              </w:rPr>
              <w:t>中远海物发与于2</w:t>
            </w:r>
            <w:r>
              <w:rPr>
                <w:rFonts w:ascii="宋体" w:hAnsi="宋体" w:eastAsia="宋体"/>
                <w:bCs w:val="0"/>
                <w:kern w:val="2"/>
                <w:sz w:val="24"/>
                <w:szCs w:val="24"/>
                <w:lang w:eastAsia="zh-Hans"/>
              </w:rPr>
              <w:t>021</w:t>
            </w:r>
            <w:r>
              <w:rPr>
                <w:rFonts w:hint="eastAsia" w:ascii="宋体" w:hAnsi="宋体" w:eastAsia="宋体"/>
                <w:bCs w:val="0"/>
                <w:kern w:val="2"/>
                <w:sz w:val="24"/>
                <w:szCs w:val="24"/>
                <w:lang w:eastAsia="zh-Hans"/>
              </w:rPr>
              <w:t>年8月1</w:t>
            </w:r>
            <w:r>
              <w:rPr>
                <w:rFonts w:ascii="宋体" w:hAnsi="宋体" w:eastAsia="宋体"/>
                <w:bCs w:val="0"/>
                <w:kern w:val="2"/>
                <w:sz w:val="24"/>
                <w:szCs w:val="24"/>
                <w:lang w:eastAsia="zh-Hans"/>
              </w:rPr>
              <w:t>7</w:t>
            </w:r>
            <w:r>
              <w:rPr>
                <w:rFonts w:hint="eastAsia" w:ascii="宋体" w:hAnsi="宋体" w:eastAsia="宋体"/>
                <w:bCs w:val="0"/>
                <w:kern w:val="2"/>
                <w:sz w:val="24"/>
                <w:szCs w:val="24"/>
                <w:lang w:eastAsia="zh-Hans"/>
              </w:rPr>
              <w:t>日成立于中国上海市，主要从事于从事普通货物仓储、低温仓储、运输代理、供应链管理、科技物流等第三方仓储物流服务</w:t>
            </w:r>
            <w:bookmarkStart w:id="3" w:name="OLE_LINK48"/>
            <w:r>
              <w:rPr>
                <w:rFonts w:hint="eastAsia" w:ascii="宋体" w:hAnsi="宋体" w:eastAsia="宋体"/>
                <w:bCs w:val="0"/>
                <w:kern w:val="2"/>
                <w:sz w:val="24"/>
                <w:szCs w:val="24"/>
                <w:lang w:eastAsia="zh-Hans"/>
              </w:rPr>
              <w:t>。</w:t>
            </w:r>
            <w:bookmarkEnd w:id="3"/>
          </w:p>
          <w:p>
            <w:pPr>
              <w:pStyle w:val="2"/>
              <w:numPr>
                <w:ilvl w:val="0"/>
                <w:numId w:val="0"/>
              </w:numPr>
              <w:spacing w:after="0" w:afterLines="0"/>
              <w:jc w:val="both"/>
            </w:pPr>
            <w:r>
              <w:rPr>
                <w:rFonts w:hint="eastAsia" w:ascii="宋体" w:hAnsi="宋体" w:eastAsia="宋体"/>
                <w:bCs w:val="0"/>
                <w:kern w:val="2"/>
                <w:sz w:val="24"/>
                <w:szCs w:val="24"/>
                <w:lang w:eastAsia="zh-Hans"/>
              </w:rPr>
              <w:t>中远海物发的最终控制人为中国远洋海运集团有限公司，主要业务为国际海运及辅助业务、国际货运代理等。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tcPr>
          <w:p>
            <w:pPr>
              <w:rPr>
                <w:rFonts w:ascii="宋体" w:hAnsi="宋体" w:eastAsia="宋体"/>
                <w:sz w:val="24"/>
              </w:rPr>
            </w:pPr>
            <w:r>
              <w:rPr>
                <w:rFonts w:ascii="宋体" w:hAnsi="宋体" w:eastAsia="宋体"/>
                <w:sz w:val="24"/>
              </w:rPr>
              <w:t>简易案件理由（可以单选，也可以多选）</w:t>
            </w:r>
          </w:p>
        </w:tc>
        <w:tc>
          <w:tcPr>
            <w:tcW w:w="6949" w:type="dxa"/>
            <w:gridSpan w:val="2"/>
            <w:vAlign w:val="center"/>
          </w:tcPr>
          <w:p>
            <w:pPr>
              <w:ind w:firstLine="240" w:firstLineChars="100"/>
              <w:rPr>
                <w:rFonts w:hint="eastAsia" w:ascii="宋体" w:hAnsi="宋体" w:eastAsia="宋体" w:cs="Times New Roman"/>
                <w:b w:val="0"/>
                <w:bCs w:val="0"/>
                <w:kern w:val="2"/>
                <w:sz w:val="24"/>
                <w:szCs w:val="24"/>
                <w:lang w:val="en-US" w:eastAsia="zh-Hans" w:bidi="ar-SA"/>
              </w:rPr>
            </w:pPr>
            <w:r>
              <w:rPr>
                <w:rFonts w:hint="eastAsia" w:ascii="宋体" w:hAnsi="宋体" w:eastAsia="宋体" w:cs="Times New Roman"/>
                <w:b w:val="0"/>
                <w:bCs w:val="0"/>
                <w:kern w:val="2"/>
                <w:sz w:val="24"/>
                <w:szCs w:val="24"/>
                <w:lang w:val="en-US" w:eastAsia="zh-Hans" w:bidi="ar-SA"/>
              </w:rPr>
              <w:sym w:font="Wingdings" w:char="00A8"/>
            </w:r>
            <w:r>
              <w:rPr>
                <w:rFonts w:hint="eastAsia" w:ascii="宋体" w:hAnsi="宋体" w:eastAsia="宋体" w:cs="Times New Roman"/>
                <w:b w:val="0"/>
                <w:bCs w:val="0"/>
                <w:kern w:val="2"/>
                <w:sz w:val="24"/>
                <w:szCs w:val="24"/>
                <w:lang w:val="en-US" w:eastAsia="zh-Hans" w:bidi="ar-SA"/>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tcPr>
          <w:p>
            <w:pPr>
              <w:rPr>
                <w:rFonts w:ascii="宋体" w:hAnsi="宋体" w:eastAsia="宋体"/>
                <w:sz w:val="24"/>
              </w:rPr>
            </w:pPr>
          </w:p>
        </w:tc>
        <w:tc>
          <w:tcPr>
            <w:tcW w:w="6949" w:type="dxa"/>
            <w:gridSpan w:val="2"/>
            <w:vAlign w:val="center"/>
          </w:tcPr>
          <w:p>
            <w:pPr>
              <w:ind w:firstLine="240" w:firstLineChars="100"/>
              <w:rPr>
                <w:rFonts w:hint="eastAsia" w:ascii="宋体" w:hAnsi="宋体" w:eastAsia="宋体" w:cs="Times New Roman"/>
                <w:b w:val="0"/>
                <w:bCs w:val="0"/>
                <w:kern w:val="2"/>
                <w:sz w:val="24"/>
                <w:szCs w:val="24"/>
                <w:lang w:val="en-US" w:eastAsia="zh-Hans" w:bidi="ar-SA"/>
              </w:rPr>
            </w:pPr>
            <w:r>
              <w:rPr>
                <w:rFonts w:hint="eastAsia" w:ascii="宋体" w:hAnsi="宋体" w:eastAsia="宋体" w:cs="Times New Roman"/>
                <w:b w:val="0"/>
                <w:bCs w:val="0"/>
                <w:kern w:val="2"/>
                <w:sz w:val="24"/>
                <w:szCs w:val="24"/>
                <w:lang w:val="en-US" w:eastAsia="zh-Hans" w:bidi="ar-SA"/>
              </w:rPr>
              <w:sym w:font="Wingdings" w:char="00A8"/>
            </w:r>
            <w:r>
              <w:rPr>
                <w:rFonts w:hint="eastAsia" w:ascii="宋体" w:hAnsi="宋体" w:eastAsia="宋体" w:cs="Times New Roman"/>
                <w:b w:val="0"/>
                <w:bCs w:val="0"/>
                <w:kern w:val="2"/>
                <w:sz w:val="24"/>
                <w:szCs w:val="24"/>
                <w:lang w:val="en-US" w:eastAsia="zh-Hans" w:bidi="ar-SA"/>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tcPr>
          <w:p>
            <w:pPr>
              <w:rPr>
                <w:rFonts w:ascii="宋体" w:hAnsi="宋体" w:eastAsia="宋体"/>
                <w:sz w:val="24"/>
              </w:rPr>
            </w:pPr>
          </w:p>
        </w:tc>
        <w:tc>
          <w:tcPr>
            <w:tcW w:w="6949" w:type="dxa"/>
            <w:gridSpan w:val="2"/>
            <w:vAlign w:val="center"/>
          </w:tcPr>
          <w:p>
            <w:pPr>
              <w:rPr>
                <w:rFonts w:hint="eastAsia" w:ascii="宋体" w:hAnsi="宋体" w:eastAsia="宋体" w:cs="Times New Roman"/>
                <w:b w:val="0"/>
                <w:bCs w:val="0"/>
                <w:kern w:val="2"/>
                <w:sz w:val="24"/>
                <w:szCs w:val="24"/>
                <w:lang w:val="en-US" w:eastAsia="zh-Hans" w:bidi="ar-SA"/>
              </w:rPr>
            </w:pPr>
            <w:r>
              <w:rPr>
                <w:rFonts w:hint="eastAsia" w:ascii="宋体" w:hAnsi="宋体" w:eastAsia="宋体" w:cs="Times New Roman"/>
                <w:b w:val="0"/>
                <w:bCs w:val="0"/>
                <w:kern w:val="2"/>
                <w:sz w:val="24"/>
                <w:szCs w:val="24"/>
                <w:lang w:val="en-US" w:eastAsia="zh-Hans" w:bidi="ar-SA"/>
              </w:rPr>
              <w:sym w:font="Wingdings" w:char="00FE"/>
            </w:r>
            <w:r>
              <w:rPr>
                <w:rFonts w:hint="eastAsia" w:ascii="宋体" w:hAnsi="宋体" w:eastAsia="宋体" w:cs="Times New Roman"/>
                <w:b w:val="0"/>
                <w:bCs w:val="0"/>
                <w:kern w:val="2"/>
                <w:sz w:val="24"/>
                <w:szCs w:val="24"/>
                <w:lang w:val="en-US" w:eastAsia="zh-Hans" w:bidi="ar-SA"/>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tcPr>
          <w:p>
            <w:pPr>
              <w:rPr>
                <w:rFonts w:ascii="宋体" w:hAnsi="宋体" w:eastAsia="宋体"/>
                <w:sz w:val="24"/>
              </w:rPr>
            </w:pPr>
          </w:p>
        </w:tc>
        <w:tc>
          <w:tcPr>
            <w:tcW w:w="6949" w:type="dxa"/>
            <w:gridSpan w:val="2"/>
            <w:vAlign w:val="center"/>
          </w:tcPr>
          <w:p>
            <w:pPr>
              <w:ind w:firstLine="240" w:firstLineChars="100"/>
              <w:rPr>
                <w:rFonts w:hint="eastAsia" w:ascii="宋体" w:hAnsi="宋体" w:eastAsia="宋体" w:cs="Times New Roman"/>
                <w:b w:val="0"/>
                <w:bCs w:val="0"/>
                <w:kern w:val="2"/>
                <w:sz w:val="24"/>
                <w:szCs w:val="24"/>
                <w:lang w:val="en-US" w:eastAsia="zh-Hans" w:bidi="ar-SA"/>
              </w:rPr>
            </w:pPr>
            <w:r>
              <w:rPr>
                <w:rFonts w:hint="eastAsia" w:ascii="宋体" w:hAnsi="宋体" w:eastAsia="宋体" w:cs="Times New Roman"/>
                <w:b w:val="0"/>
                <w:bCs w:val="0"/>
                <w:kern w:val="2"/>
                <w:sz w:val="24"/>
                <w:szCs w:val="24"/>
                <w:lang w:val="en-US" w:eastAsia="zh-Hans" w:bidi="ar-SA"/>
              </w:rPr>
              <w:sym w:font="Wingdings" w:char="00A8"/>
            </w:r>
            <w:r>
              <w:rPr>
                <w:rFonts w:hint="eastAsia" w:ascii="宋体" w:hAnsi="宋体" w:eastAsia="宋体" w:cs="Times New Roman"/>
                <w:b w:val="0"/>
                <w:bCs w:val="0"/>
                <w:kern w:val="2"/>
                <w:sz w:val="24"/>
                <w:szCs w:val="24"/>
                <w:lang w:val="en-US" w:eastAsia="zh-Hans" w:bidi="ar-SA"/>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tcPr>
          <w:p>
            <w:pPr>
              <w:rPr>
                <w:rFonts w:ascii="宋体" w:hAnsi="宋体" w:eastAsia="宋体"/>
                <w:sz w:val="24"/>
              </w:rPr>
            </w:pPr>
          </w:p>
        </w:tc>
        <w:tc>
          <w:tcPr>
            <w:tcW w:w="6949" w:type="dxa"/>
            <w:gridSpan w:val="2"/>
            <w:vAlign w:val="center"/>
          </w:tcPr>
          <w:p>
            <w:pPr>
              <w:ind w:firstLine="240" w:firstLineChars="100"/>
              <w:rPr>
                <w:rFonts w:hint="eastAsia" w:ascii="宋体" w:hAnsi="宋体" w:eastAsia="宋体" w:cs="Times New Roman"/>
                <w:b w:val="0"/>
                <w:bCs w:val="0"/>
                <w:kern w:val="2"/>
                <w:sz w:val="24"/>
                <w:szCs w:val="24"/>
                <w:lang w:val="en-US" w:eastAsia="zh-Hans" w:bidi="ar-SA"/>
              </w:rPr>
            </w:pPr>
            <w:r>
              <w:rPr>
                <w:rFonts w:hint="eastAsia" w:ascii="宋体" w:hAnsi="宋体" w:eastAsia="宋体" w:cs="Times New Roman"/>
                <w:b w:val="0"/>
                <w:bCs w:val="0"/>
                <w:kern w:val="2"/>
                <w:sz w:val="24"/>
                <w:szCs w:val="24"/>
                <w:lang w:val="en-US" w:eastAsia="zh-Hans" w:bidi="ar-SA"/>
              </w:rPr>
              <w:sym w:font="Wingdings" w:char="00A8"/>
            </w:r>
            <w:r>
              <w:rPr>
                <w:rFonts w:hint="eastAsia" w:ascii="宋体" w:hAnsi="宋体" w:eastAsia="宋体" w:cs="Times New Roman"/>
                <w:b w:val="0"/>
                <w:bCs w:val="0"/>
                <w:kern w:val="2"/>
                <w:sz w:val="24"/>
                <w:szCs w:val="24"/>
                <w:lang w:val="en-US" w:eastAsia="zh-Hans" w:bidi="ar-SA"/>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tcPr>
          <w:p>
            <w:pPr>
              <w:rPr>
                <w:rFonts w:ascii="宋体" w:hAnsi="宋体" w:eastAsia="宋体"/>
                <w:sz w:val="24"/>
              </w:rPr>
            </w:pPr>
          </w:p>
        </w:tc>
        <w:tc>
          <w:tcPr>
            <w:tcW w:w="6949" w:type="dxa"/>
            <w:gridSpan w:val="2"/>
            <w:vAlign w:val="center"/>
          </w:tcPr>
          <w:p>
            <w:pPr>
              <w:ind w:firstLine="240" w:firstLineChars="100"/>
              <w:rPr>
                <w:rFonts w:hint="eastAsia" w:ascii="宋体" w:hAnsi="宋体" w:eastAsia="宋体" w:cs="Times New Roman"/>
                <w:b w:val="0"/>
                <w:bCs w:val="0"/>
                <w:kern w:val="2"/>
                <w:sz w:val="24"/>
                <w:szCs w:val="24"/>
                <w:lang w:val="en-US" w:eastAsia="zh-Hans" w:bidi="ar-SA"/>
              </w:rPr>
            </w:pPr>
            <w:r>
              <w:rPr>
                <w:rFonts w:hint="eastAsia" w:ascii="宋体" w:hAnsi="宋体" w:eastAsia="宋体" w:cs="Times New Roman"/>
                <w:b w:val="0"/>
                <w:bCs w:val="0"/>
                <w:kern w:val="2"/>
                <w:sz w:val="24"/>
                <w:szCs w:val="24"/>
                <w:lang w:val="en-US" w:eastAsia="zh-Hans" w:bidi="ar-SA"/>
              </w:rPr>
              <w:sym w:font="Wingdings" w:char="00A8"/>
            </w:r>
            <w:r>
              <w:rPr>
                <w:rFonts w:hint="eastAsia" w:ascii="宋体" w:hAnsi="宋体" w:eastAsia="宋体" w:cs="Times New Roman"/>
                <w:b w:val="0"/>
                <w:bCs w:val="0"/>
                <w:kern w:val="2"/>
                <w:sz w:val="24"/>
                <w:szCs w:val="24"/>
                <w:lang w:val="en-US" w:eastAsia="zh-Hans" w:bidi="ar-SA"/>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tcPr>
          <w:p>
            <w:pPr>
              <w:rPr>
                <w:rFonts w:ascii="宋体" w:hAnsi="宋体" w:eastAsia="宋体"/>
                <w:sz w:val="24"/>
              </w:rPr>
            </w:pPr>
            <w:r>
              <w:rPr>
                <w:rFonts w:ascii="宋体" w:hAnsi="宋体" w:eastAsia="宋体"/>
                <w:sz w:val="24"/>
              </w:rPr>
              <w:t>备注</w:t>
            </w:r>
          </w:p>
        </w:tc>
        <w:tc>
          <w:tcPr>
            <w:tcW w:w="6949" w:type="dxa"/>
            <w:gridSpan w:val="2"/>
          </w:tcPr>
          <w:p>
            <w:pPr>
              <w:pStyle w:val="2"/>
              <w:numPr>
                <w:ilvl w:val="0"/>
                <w:numId w:val="0"/>
              </w:numPr>
              <w:spacing w:after="0" w:afterLines="0"/>
              <w:jc w:val="both"/>
              <w:rPr>
                <w:rFonts w:ascii="宋体" w:hAnsi="宋体" w:eastAsia="宋体"/>
                <w:bCs w:val="0"/>
                <w:kern w:val="2"/>
                <w:sz w:val="24"/>
                <w:szCs w:val="24"/>
              </w:rPr>
            </w:pPr>
            <w:r>
              <w:rPr>
                <w:rFonts w:hint="eastAsia" w:ascii="宋体" w:hAnsi="宋体" w:eastAsia="宋体"/>
                <w:bCs w:val="0"/>
                <w:kern w:val="2"/>
                <w:sz w:val="24"/>
                <w:szCs w:val="24"/>
              </w:rPr>
              <w:t>本次交易不涉及横向和纵向关系，涉及相邻关系，相邻市场及市场份额：</w:t>
            </w:r>
          </w:p>
          <w:p>
            <w:pPr>
              <w:pStyle w:val="2"/>
              <w:numPr>
                <w:ilvl w:val="0"/>
                <w:numId w:val="0"/>
              </w:numPr>
              <w:spacing w:before="156" w:beforeLines="50" w:after="0" w:afterLines="0"/>
              <w:jc w:val="both"/>
              <w:rPr>
                <w:rFonts w:ascii="宋体" w:hAnsi="宋体" w:eastAsia="宋体"/>
                <w:bCs w:val="0"/>
                <w:kern w:val="2"/>
                <w:sz w:val="24"/>
                <w:szCs w:val="24"/>
                <w:lang w:eastAsia="zh-Hans"/>
              </w:rPr>
            </w:pPr>
            <w:r>
              <w:rPr>
                <w:rFonts w:hint="eastAsia" w:ascii="宋体" w:hAnsi="宋体" w:eastAsia="宋体"/>
                <w:bCs w:val="0"/>
                <w:kern w:val="2"/>
                <w:sz w:val="24"/>
                <w:szCs w:val="24"/>
                <w:lang w:eastAsia="zh-Hans"/>
              </w:rPr>
              <w:t>2</w:t>
            </w:r>
            <w:r>
              <w:rPr>
                <w:rFonts w:ascii="宋体" w:hAnsi="宋体" w:eastAsia="宋体"/>
                <w:bCs w:val="0"/>
                <w:kern w:val="2"/>
                <w:sz w:val="24"/>
                <w:szCs w:val="24"/>
                <w:lang w:eastAsia="zh-Hans"/>
              </w:rPr>
              <w:t>022</w:t>
            </w:r>
            <w:r>
              <w:rPr>
                <w:rFonts w:hint="eastAsia" w:ascii="宋体" w:hAnsi="宋体" w:eastAsia="宋体"/>
                <w:bCs w:val="0"/>
                <w:kern w:val="2"/>
                <w:sz w:val="24"/>
                <w:szCs w:val="24"/>
              </w:rPr>
              <w:t>年合肥市</w:t>
            </w:r>
            <w:r>
              <w:rPr>
                <w:rFonts w:hint="eastAsia" w:ascii="宋体" w:hAnsi="宋体" w:eastAsia="宋体"/>
                <w:bCs w:val="0"/>
                <w:kern w:val="2"/>
                <w:sz w:val="24"/>
                <w:szCs w:val="24"/>
                <w:lang w:eastAsia="zh-Hans"/>
              </w:rPr>
              <w:t>危险化学品仓储服务市场：</w:t>
            </w:r>
          </w:p>
          <w:p>
            <w:pPr>
              <w:pStyle w:val="2"/>
              <w:numPr>
                <w:ilvl w:val="0"/>
                <w:numId w:val="0"/>
              </w:numPr>
              <w:spacing w:after="0" w:afterLines="0"/>
              <w:jc w:val="both"/>
              <w:rPr>
                <w:rFonts w:ascii="宋体" w:hAnsi="宋体" w:eastAsia="宋体"/>
                <w:bCs w:val="0"/>
                <w:kern w:val="2"/>
                <w:sz w:val="24"/>
                <w:szCs w:val="24"/>
                <w:lang w:eastAsia="zh-Hans"/>
              </w:rPr>
            </w:pPr>
            <w:bookmarkStart w:id="4" w:name="OLE_LINK4"/>
            <w:bookmarkStart w:id="5" w:name="OLE_LINK3"/>
            <w:r>
              <w:rPr>
                <w:rFonts w:hint="eastAsia" w:ascii="宋体" w:hAnsi="宋体" w:eastAsia="宋体"/>
                <w:bCs w:val="0"/>
                <w:kern w:val="2"/>
                <w:sz w:val="24"/>
                <w:szCs w:val="24"/>
                <w:lang w:eastAsia="zh-Hans"/>
              </w:rPr>
              <w:t>中远海物发：0</w:t>
            </w:r>
            <w:r>
              <w:rPr>
                <w:rFonts w:ascii="宋体" w:hAnsi="宋体" w:eastAsia="宋体"/>
                <w:bCs w:val="0"/>
                <w:kern w:val="2"/>
                <w:sz w:val="24"/>
                <w:szCs w:val="24"/>
                <w:lang w:eastAsia="zh-Hans"/>
              </w:rPr>
              <w:t>%-5%</w:t>
            </w:r>
          </w:p>
          <w:p>
            <w:pPr>
              <w:pStyle w:val="2"/>
              <w:numPr>
                <w:ilvl w:val="0"/>
                <w:numId w:val="0"/>
              </w:numPr>
              <w:spacing w:after="0" w:afterLines="0"/>
              <w:jc w:val="both"/>
              <w:rPr>
                <w:rFonts w:ascii="宋体" w:hAnsi="宋体" w:eastAsia="宋体"/>
                <w:bCs w:val="0"/>
                <w:kern w:val="2"/>
                <w:sz w:val="24"/>
                <w:szCs w:val="24"/>
                <w:lang w:eastAsia="zh-Hans"/>
              </w:rPr>
            </w:pPr>
            <w:r>
              <w:rPr>
                <w:rFonts w:hint="eastAsia" w:ascii="宋体" w:hAnsi="宋体" w:eastAsia="宋体"/>
                <w:bCs w:val="0"/>
                <w:kern w:val="2"/>
                <w:sz w:val="24"/>
                <w:szCs w:val="24"/>
                <w:lang w:eastAsia="zh-Hans"/>
              </w:rPr>
              <w:t>海恒物流：0</w:t>
            </w:r>
            <w:r>
              <w:rPr>
                <w:rFonts w:ascii="宋体" w:hAnsi="宋体" w:eastAsia="宋体"/>
                <w:bCs w:val="0"/>
                <w:kern w:val="2"/>
                <w:sz w:val="24"/>
                <w:szCs w:val="24"/>
                <w:lang w:eastAsia="zh-Hans"/>
              </w:rPr>
              <w:t>%-5%</w:t>
            </w:r>
          </w:p>
          <w:p>
            <w:pPr>
              <w:rPr>
                <w:lang w:eastAsia="zh-Hans"/>
              </w:rPr>
            </w:pPr>
            <w:r>
              <w:rPr>
                <w:rFonts w:hint="eastAsia" w:ascii="宋体" w:hAnsi="宋体" w:eastAsia="宋体"/>
                <w:bCs w:val="0"/>
                <w:kern w:val="2"/>
                <w:sz w:val="24"/>
                <w:szCs w:val="24"/>
                <w:lang w:eastAsia="zh-CN"/>
              </w:rPr>
              <w:t>双方合计：</w:t>
            </w:r>
            <w:r>
              <w:rPr>
                <w:rFonts w:hint="eastAsia" w:ascii="宋体" w:hAnsi="宋体" w:eastAsia="宋体"/>
                <w:bCs w:val="0"/>
                <w:kern w:val="2"/>
                <w:sz w:val="24"/>
                <w:szCs w:val="24"/>
                <w:lang w:val="en-US" w:eastAsia="zh-CN"/>
              </w:rPr>
              <w:t>0%-5%</w:t>
            </w:r>
            <w:bookmarkStart w:id="6" w:name="_GoBack"/>
            <w:bookmarkEnd w:id="6"/>
          </w:p>
          <w:bookmarkEnd w:id="4"/>
          <w:bookmarkEnd w:id="5"/>
          <w:p>
            <w:pPr>
              <w:pStyle w:val="2"/>
              <w:numPr>
                <w:ilvl w:val="0"/>
                <w:numId w:val="0"/>
              </w:numPr>
              <w:spacing w:after="0" w:afterLines="0"/>
              <w:jc w:val="both"/>
              <w:rPr>
                <w:rFonts w:ascii="宋体" w:hAnsi="宋体" w:eastAsia="宋体"/>
                <w:bCs w:val="0"/>
                <w:kern w:val="2"/>
                <w:sz w:val="24"/>
                <w:szCs w:val="24"/>
                <w:lang w:eastAsia="zh-Hans"/>
              </w:rPr>
            </w:pPr>
            <w:r>
              <w:rPr>
                <w:rFonts w:hint="eastAsia" w:ascii="宋体" w:hAnsi="宋体" w:eastAsia="宋体"/>
                <w:bCs w:val="0"/>
                <w:kern w:val="2"/>
                <w:sz w:val="24"/>
                <w:szCs w:val="24"/>
                <w:lang w:eastAsia="zh-Hans"/>
              </w:rPr>
              <w:t>2</w:t>
            </w:r>
            <w:r>
              <w:rPr>
                <w:rFonts w:ascii="宋体" w:hAnsi="宋体" w:eastAsia="宋体"/>
                <w:bCs w:val="0"/>
                <w:kern w:val="2"/>
                <w:sz w:val="24"/>
                <w:szCs w:val="24"/>
                <w:lang w:eastAsia="zh-Hans"/>
              </w:rPr>
              <w:t>022</w:t>
            </w:r>
            <w:r>
              <w:rPr>
                <w:rFonts w:hint="eastAsia" w:ascii="宋体" w:hAnsi="宋体" w:eastAsia="宋体"/>
                <w:bCs w:val="0"/>
                <w:kern w:val="2"/>
                <w:sz w:val="24"/>
                <w:szCs w:val="24"/>
              </w:rPr>
              <w:t>年</w:t>
            </w:r>
            <w:r>
              <w:rPr>
                <w:rFonts w:hint="eastAsia" w:ascii="宋体" w:hAnsi="宋体" w:eastAsia="宋体"/>
                <w:bCs w:val="0"/>
                <w:kern w:val="2"/>
                <w:sz w:val="24"/>
                <w:szCs w:val="24"/>
                <w:lang w:eastAsia="zh-Hans"/>
              </w:rPr>
              <w:t>中国境内危险化学品运输服务市场：</w:t>
            </w:r>
          </w:p>
          <w:p>
            <w:pPr>
              <w:pStyle w:val="2"/>
              <w:numPr>
                <w:ilvl w:val="0"/>
                <w:numId w:val="0"/>
              </w:numPr>
              <w:spacing w:after="0" w:afterLines="0"/>
              <w:jc w:val="both"/>
              <w:rPr>
                <w:rFonts w:ascii="宋体" w:hAnsi="宋体" w:eastAsia="宋体"/>
                <w:bCs w:val="0"/>
                <w:kern w:val="2"/>
                <w:sz w:val="24"/>
                <w:szCs w:val="24"/>
                <w:lang w:eastAsia="zh-Hans"/>
              </w:rPr>
            </w:pPr>
            <w:r>
              <w:rPr>
                <w:rFonts w:hint="eastAsia" w:ascii="宋体" w:hAnsi="宋体" w:eastAsia="宋体"/>
                <w:bCs w:val="0"/>
                <w:kern w:val="2"/>
                <w:sz w:val="24"/>
                <w:szCs w:val="24"/>
                <w:lang w:eastAsia="zh-Hans"/>
              </w:rPr>
              <w:t>中远海物发：0</w:t>
            </w:r>
            <w:r>
              <w:rPr>
                <w:rFonts w:ascii="宋体" w:hAnsi="宋体" w:eastAsia="宋体"/>
                <w:bCs w:val="0"/>
                <w:kern w:val="2"/>
                <w:sz w:val="24"/>
                <w:szCs w:val="24"/>
                <w:lang w:eastAsia="zh-Hans"/>
              </w:rPr>
              <w:t>%-5%</w:t>
            </w:r>
          </w:p>
          <w:p>
            <w:pPr>
              <w:pStyle w:val="2"/>
              <w:numPr>
                <w:ilvl w:val="0"/>
                <w:numId w:val="0"/>
              </w:numPr>
              <w:spacing w:after="0" w:afterLines="0"/>
              <w:jc w:val="both"/>
              <w:rPr>
                <w:rFonts w:ascii="宋体" w:hAnsi="宋体" w:eastAsia="宋体"/>
                <w:bCs w:val="0"/>
                <w:kern w:val="2"/>
                <w:sz w:val="24"/>
                <w:szCs w:val="24"/>
                <w:lang w:eastAsia="zh-Hans"/>
              </w:rPr>
            </w:pPr>
            <w:r>
              <w:rPr>
                <w:rFonts w:hint="eastAsia" w:ascii="宋体" w:hAnsi="宋体" w:eastAsia="宋体"/>
                <w:bCs w:val="0"/>
                <w:kern w:val="2"/>
                <w:sz w:val="24"/>
                <w:szCs w:val="24"/>
                <w:lang w:eastAsia="zh-Hans"/>
              </w:rPr>
              <w:t>海恒物流：0</w:t>
            </w:r>
            <w:r>
              <w:rPr>
                <w:rFonts w:ascii="宋体" w:hAnsi="宋体" w:eastAsia="宋体"/>
                <w:bCs w:val="0"/>
                <w:kern w:val="2"/>
                <w:sz w:val="24"/>
                <w:szCs w:val="24"/>
                <w:lang w:eastAsia="zh-Hans"/>
              </w:rPr>
              <w:t>%-5%</w:t>
            </w:r>
          </w:p>
          <w:p>
            <w:pPr>
              <w:pStyle w:val="2"/>
              <w:numPr>
                <w:ilvl w:val="0"/>
                <w:numId w:val="0"/>
              </w:numPr>
              <w:spacing w:after="0" w:afterLines="0"/>
              <w:jc w:val="both"/>
              <w:rPr>
                <w:rFonts w:hint="default" w:ascii="宋体" w:hAnsi="宋体" w:eastAsia="宋体"/>
                <w:bCs w:val="0"/>
                <w:kern w:val="2"/>
                <w:sz w:val="24"/>
                <w:szCs w:val="24"/>
                <w:lang w:val="en-US" w:eastAsia="zh-CN"/>
              </w:rPr>
            </w:pPr>
            <w:r>
              <w:rPr>
                <w:rFonts w:hint="eastAsia" w:ascii="宋体" w:hAnsi="宋体" w:eastAsia="宋体"/>
                <w:bCs w:val="0"/>
                <w:kern w:val="2"/>
                <w:sz w:val="24"/>
                <w:szCs w:val="24"/>
                <w:lang w:eastAsia="zh-CN"/>
              </w:rPr>
              <w:t>双方合计：</w:t>
            </w:r>
            <w:r>
              <w:rPr>
                <w:rFonts w:hint="eastAsia" w:ascii="宋体" w:hAnsi="宋体" w:eastAsia="宋体"/>
                <w:bCs w:val="0"/>
                <w:kern w:val="2"/>
                <w:sz w:val="24"/>
                <w:szCs w:val="24"/>
                <w:lang w:val="en-US" w:eastAsia="zh-CN"/>
              </w:rPr>
              <w:t>0%-5%</w:t>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方正书宋_GBK">
    <w:panose1 w:val="02000000000000000000"/>
    <w:charset w:val="86"/>
    <w:family w:val="auto"/>
    <w:pitch w:val="default"/>
    <w:sig w:usb0="00000001" w:usb1="0800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650DCC"/>
    <w:multiLevelType w:val="multilevel"/>
    <w:tmpl w:val="53650DC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D434B06"/>
    <w:multiLevelType w:val="multilevel"/>
    <w:tmpl w:val="7D434B06"/>
    <w:lvl w:ilvl="0" w:tentative="0">
      <w:start w:val="1"/>
      <w:numFmt w:val="ideographDigital"/>
      <w:pStyle w:val="2"/>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4667"/>
    <w:rsid w:val="00011278"/>
    <w:rsid w:val="00035281"/>
    <w:rsid w:val="000A05B4"/>
    <w:rsid w:val="00123F47"/>
    <w:rsid w:val="001544DD"/>
    <w:rsid w:val="001D0FCC"/>
    <w:rsid w:val="0029273A"/>
    <w:rsid w:val="002A4693"/>
    <w:rsid w:val="00310E7D"/>
    <w:rsid w:val="00327023"/>
    <w:rsid w:val="003B3F86"/>
    <w:rsid w:val="003F06AA"/>
    <w:rsid w:val="0043696D"/>
    <w:rsid w:val="00493A6E"/>
    <w:rsid w:val="00494B66"/>
    <w:rsid w:val="005B7DA3"/>
    <w:rsid w:val="006150F3"/>
    <w:rsid w:val="00647265"/>
    <w:rsid w:val="006544B7"/>
    <w:rsid w:val="00662DC8"/>
    <w:rsid w:val="007D074A"/>
    <w:rsid w:val="007E6E43"/>
    <w:rsid w:val="00900046"/>
    <w:rsid w:val="009171B7"/>
    <w:rsid w:val="009C1941"/>
    <w:rsid w:val="009C7E42"/>
    <w:rsid w:val="009F5B55"/>
    <w:rsid w:val="00A13C2E"/>
    <w:rsid w:val="00A40B81"/>
    <w:rsid w:val="00AD4667"/>
    <w:rsid w:val="00B45396"/>
    <w:rsid w:val="00BF4A69"/>
    <w:rsid w:val="00D433DD"/>
    <w:rsid w:val="00D4632C"/>
    <w:rsid w:val="00D72A09"/>
    <w:rsid w:val="00D81866"/>
    <w:rsid w:val="00DB4263"/>
    <w:rsid w:val="00DC731A"/>
    <w:rsid w:val="00E57473"/>
    <w:rsid w:val="00E649F3"/>
    <w:rsid w:val="00E779B2"/>
    <w:rsid w:val="00E95094"/>
    <w:rsid w:val="00EA0BB7"/>
    <w:rsid w:val="00EF3144"/>
    <w:rsid w:val="00F1368C"/>
    <w:rsid w:val="00F41197"/>
    <w:rsid w:val="00F41D9A"/>
    <w:rsid w:val="00F54899"/>
    <w:rsid w:val="00F72915"/>
    <w:rsid w:val="00FB2B89"/>
    <w:rsid w:val="00FB7F4F"/>
    <w:rsid w:val="1BDF0E0B"/>
    <w:rsid w:val="1F2B32B5"/>
    <w:rsid w:val="26FE81FD"/>
    <w:rsid w:val="57FFE2F1"/>
    <w:rsid w:val="5FBF1408"/>
    <w:rsid w:val="5FD74F1A"/>
    <w:rsid w:val="637EA32F"/>
    <w:rsid w:val="6BFBCBED"/>
    <w:rsid w:val="6DFFA621"/>
    <w:rsid w:val="6F79674D"/>
    <w:rsid w:val="6FF970B4"/>
    <w:rsid w:val="77FE1E84"/>
    <w:rsid w:val="784C6633"/>
    <w:rsid w:val="7AF214FA"/>
    <w:rsid w:val="7B795961"/>
    <w:rsid w:val="7BEFB07D"/>
    <w:rsid w:val="7D47DF65"/>
    <w:rsid w:val="7DBB048A"/>
    <w:rsid w:val="7FDBACC6"/>
    <w:rsid w:val="BAE1827C"/>
    <w:rsid w:val="BDFC41BF"/>
    <w:rsid w:val="C77E7668"/>
    <w:rsid w:val="CDD3FAA1"/>
    <w:rsid w:val="CFFD5C11"/>
    <w:rsid w:val="DBF8B85B"/>
    <w:rsid w:val="DEEF1579"/>
    <w:rsid w:val="DF7FC732"/>
    <w:rsid w:val="DF93C593"/>
    <w:rsid w:val="DF9F0D95"/>
    <w:rsid w:val="DFA70407"/>
    <w:rsid w:val="EFFDE630"/>
    <w:rsid w:val="F67AA0C8"/>
    <w:rsid w:val="F6EF6DE7"/>
    <w:rsid w:val="F83B609B"/>
    <w:rsid w:val="FD7FCC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仿宋_GB2312" w:cs="Times New Roman"/>
      <w:kern w:val="2"/>
      <w:sz w:val="30"/>
      <w:szCs w:val="24"/>
      <w:lang w:val="en-US" w:eastAsia="zh-CN" w:bidi="ar-SA"/>
    </w:rPr>
  </w:style>
  <w:style w:type="paragraph" w:styleId="2">
    <w:name w:val="heading 1"/>
    <w:basedOn w:val="3"/>
    <w:next w:val="1"/>
    <w:qFormat/>
    <w:uiPriority w:val="0"/>
    <w:pPr>
      <w:keepNext/>
      <w:keepLines/>
      <w:numPr>
        <w:ilvl w:val="0"/>
        <w:numId w:val="1"/>
      </w:numPr>
      <w:outlineLvl w:val="0"/>
    </w:pPr>
    <w:rPr>
      <w:rFonts w:eastAsia="黑体"/>
      <w:bCs/>
      <w:kern w:val="44"/>
      <w:sz w:val="30"/>
      <w:szCs w:val="44"/>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customStyle="1" w:styleId="3">
    <w:name w:val="名称2"/>
    <w:basedOn w:val="4"/>
    <w:qFormat/>
    <w:uiPriority w:val="0"/>
    <w:pPr>
      <w:spacing w:after="312" w:afterLines="100"/>
    </w:pPr>
    <w:rPr>
      <w:b w:val="0"/>
      <w:sz w:val="20"/>
    </w:rPr>
  </w:style>
  <w:style w:type="paragraph" w:customStyle="1" w:styleId="4">
    <w:name w:val="名称"/>
    <w:basedOn w:val="1"/>
    <w:qFormat/>
    <w:uiPriority w:val="0"/>
    <w:pPr>
      <w:jc w:val="center"/>
    </w:pPr>
    <w:rPr>
      <w:b/>
      <w:kern w:val="0"/>
      <w:sz w:val="44"/>
      <w:szCs w:val="20"/>
    </w:rPr>
  </w:style>
  <w:style w:type="paragraph" w:styleId="5">
    <w:name w:val="annotation text"/>
    <w:basedOn w:val="1"/>
    <w:link w:val="15"/>
    <w:qFormat/>
    <w:uiPriority w:val="0"/>
    <w:pPr>
      <w:jc w:val="left"/>
    </w:pPr>
  </w:style>
  <w:style w:type="paragraph" w:styleId="6">
    <w:name w:val="footer"/>
    <w:basedOn w:val="1"/>
    <w:link w:val="14"/>
    <w:qFormat/>
    <w:uiPriority w:val="0"/>
    <w:pPr>
      <w:tabs>
        <w:tab w:val="center" w:pos="4153"/>
        <w:tab w:val="right" w:pos="8306"/>
      </w:tabs>
      <w:snapToGrid w:val="0"/>
      <w:jc w:val="left"/>
    </w:pPr>
    <w:rPr>
      <w:sz w:val="18"/>
      <w:szCs w:val="18"/>
    </w:rPr>
  </w:style>
  <w:style w:type="paragraph" w:styleId="7">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8">
    <w:name w:val="annotation subject"/>
    <w:basedOn w:val="5"/>
    <w:next w:val="5"/>
    <w:link w:val="16"/>
    <w:qFormat/>
    <w:uiPriority w:val="0"/>
    <w:rPr>
      <w:b/>
      <w:bCs/>
    </w:rPr>
  </w:style>
  <w:style w:type="character" w:styleId="11">
    <w:name w:val="annotation reference"/>
    <w:basedOn w:val="10"/>
    <w:qFormat/>
    <w:uiPriority w:val="0"/>
    <w:rPr>
      <w:sz w:val="21"/>
      <w:szCs w:val="21"/>
    </w:rPr>
  </w:style>
  <w:style w:type="paragraph" w:styleId="12">
    <w:name w:val="List Paragraph"/>
    <w:basedOn w:val="1"/>
    <w:qFormat/>
    <w:uiPriority w:val="99"/>
    <w:pPr>
      <w:ind w:firstLine="420" w:firstLineChars="200"/>
    </w:pPr>
  </w:style>
  <w:style w:type="character" w:customStyle="1" w:styleId="13">
    <w:name w:val="页眉 字符"/>
    <w:basedOn w:val="10"/>
    <w:link w:val="7"/>
    <w:qFormat/>
    <w:uiPriority w:val="0"/>
    <w:rPr>
      <w:rFonts w:eastAsia="仿宋_GB2312"/>
      <w:kern w:val="2"/>
      <w:sz w:val="18"/>
      <w:szCs w:val="18"/>
    </w:rPr>
  </w:style>
  <w:style w:type="character" w:customStyle="1" w:styleId="14">
    <w:name w:val="页脚 字符"/>
    <w:basedOn w:val="10"/>
    <w:link w:val="6"/>
    <w:qFormat/>
    <w:uiPriority w:val="0"/>
    <w:rPr>
      <w:rFonts w:eastAsia="仿宋_GB2312"/>
      <w:kern w:val="2"/>
      <w:sz w:val="18"/>
      <w:szCs w:val="18"/>
    </w:rPr>
  </w:style>
  <w:style w:type="character" w:customStyle="1" w:styleId="15">
    <w:name w:val="批注文字 字符"/>
    <w:basedOn w:val="10"/>
    <w:link w:val="5"/>
    <w:qFormat/>
    <w:uiPriority w:val="0"/>
    <w:rPr>
      <w:rFonts w:eastAsia="仿宋_GB2312"/>
      <w:kern w:val="2"/>
      <w:sz w:val="30"/>
      <w:szCs w:val="24"/>
    </w:rPr>
  </w:style>
  <w:style w:type="character" w:customStyle="1" w:styleId="16">
    <w:name w:val="批注主题 字符"/>
    <w:basedOn w:val="15"/>
    <w:link w:val="8"/>
    <w:qFormat/>
    <w:uiPriority w:val="0"/>
    <w:rPr>
      <w:rFonts w:eastAsia="仿宋_GB2312"/>
      <w:b/>
      <w:bCs/>
      <w:kern w:val="2"/>
      <w:sz w:val="30"/>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134</Words>
  <Characters>767</Characters>
  <Lines>6</Lines>
  <Paragraphs>1</Paragraphs>
  <TotalTime>0</TotalTime>
  <ScaleCrop>false</ScaleCrop>
  <LinksUpToDate>false</LinksUpToDate>
  <CharactersWithSpaces>900</CharactersWithSpaces>
  <Application>WPS Office_11.8.2.11653_F1E327BC-269C-435d-A152-05C5408002CA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2023-06-27T02:11:00Z</dcterms:created>
  <dc:creator>ljjroo</dc:creator>
  <cp:lastModifiedBy>oa</cp:lastModifiedBy>
  <dcterms:modified xsi:type="dcterms:W3CDTF">2023-06-27T12:17:37Z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2052-11.8.2.11653</vt:lpwstr>
  </property>
  <property fmtid="{D5CDD505-2E9C-101B-9397-08002B2CF9AE}" pid="3" name="ICV">
    <vt:lpwstr>26926B3D4DD421C2BE80BF630414B6B6</vt:lpwstr>
  </property>
</Properties>
</file>