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黑体" w:hAnsi="黑体" w:eastAsia="黑体" w:cs="黑体"/>
          <w:bCs/>
          <w:sz w:val="36"/>
          <w:szCs w:val="36"/>
        </w:rPr>
      </w:pPr>
      <w:r>
        <w:rPr>
          <w:rFonts w:hint="eastAsia" w:ascii="黑体" w:hAnsi="黑体" w:eastAsia="黑体" w:cs="黑体"/>
          <w:bCs/>
          <w:sz w:val="36"/>
          <w:szCs w:val="36"/>
        </w:rPr>
        <w:t>经营</w:t>
      </w:r>
      <w:r>
        <w:rPr>
          <w:rFonts w:ascii="黑体" w:hAnsi="黑体" w:eastAsia="黑体" w:cs="黑体"/>
          <w:bCs/>
          <w:sz w:val="36"/>
          <w:szCs w:val="36"/>
        </w:rPr>
        <w:t>者集中</w:t>
      </w:r>
      <w:r>
        <w:rPr>
          <w:rFonts w:hint="eastAsia" w:ascii="黑体" w:hAnsi="黑体" w:eastAsia="黑体" w:cs="黑体"/>
          <w:bCs/>
          <w:sz w:val="36"/>
          <w:szCs w:val="36"/>
        </w:rPr>
        <w:t>简</w:t>
      </w:r>
      <w:r>
        <w:rPr>
          <w:rFonts w:ascii="黑体" w:hAnsi="黑体" w:eastAsia="黑体" w:cs="黑体"/>
          <w:bCs/>
          <w:sz w:val="36"/>
          <w:szCs w:val="36"/>
        </w:rPr>
        <w:t>易案件公示表</w:t>
      </w:r>
    </w:p>
    <w:tbl>
      <w:tblPr>
        <w:tblStyle w:val="7"/>
        <w:tblW w:w="9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1417"/>
        <w:gridCol w:w="610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  <w:jc w:val="center"/>
        </w:trPr>
        <w:tc>
          <w:tcPr>
            <w:tcW w:w="2122" w:type="dxa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rPr>
                <w:rFonts w:ascii="Times New Roman" w:hAnsi="Times New Roman" w:cs="Times New Roman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案件名称</w:t>
            </w:r>
          </w:p>
        </w:tc>
        <w:tc>
          <w:tcPr>
            <w:tcW w:w="7518" w:type="dxa"/>
            <w:gridSpan w:val="2"/>
            <w:vAlign w:val="center"/>
          </w:tcPr>
          <w:p>
            <w:pPr>
              <w:widowControl/>
              <w:adjustRightInd w:val="0"/>
              <w:snapToGrid w:val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美国华平投资集团收购Polaris Intermediate Holdings, Inc.股权案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1" w:hRule="atLeast"/>
          <w:jc w:val="center"/>
        </w:trPr>
        <w:tc>
          <w:tcPr>
            <w:tcW w:w="2122" w:type="dxa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rPr>
                <w:rFonts w:ascii="Times New Roman" w:hAnsi="Times New Roman" w:cs="Times New Roman"/>
                <w:b/>
                <w:color w:val="000000" w:themeColor="text1"/>
                <w:kern w:val="0"/>
                <w:sz w:val="24"/>
                <w:szCs w:val="24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交易概况（限200字内）</w:t>
            </w:r>
          </w:p>
        </w:tc>
        <w:tc>
          <w:tcPr>
            <w:tcW w:w="7518" w:type="dxa"/>
            <w:gridSpan w:val="2"/>
          </w:tcPr>
          <w:p>
            <w:pPr>
              <w:adjustRightInd w:val="0"/>
              <w:snapToGrid w:val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美国华平投资集团（“华平投资”），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The Resolute Fund VI, L.P.</w:t>
            </w:r>
            <w:r>
              <w:rPr>
                <w:rFonts w:hint="eastAsia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（其为T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JC LP</w:t>
            </w:r>
            <w:r>
              <w:rPr>
                <w:rFonts w:hint="eastAsia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的关联实体，“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Resolute</w:t>
            </w:r>
            <w:r>
              <w:rPr>
                <w:rFonts w:hint="eastAsia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基金”）及其他交易方于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2023</w:t>
            </w:r>
            <w:r>
              <w:rPr>
                <w:rFonts w:hint="eastAsia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年9月2日签订交易协议，约定由华平投资（通过其关联实体控制的基金）收购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Polaris Intermediate Holdings, Inc.</w:t>
            </w:r>
            <w:r>
              <w:rPr>
                <w:rFonts w:hint="eastAsia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（“目标公司”）5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rFonts w:hint="eastAsia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%的表决权（“本次交易”）。目标公司主要从事无源电子器件的设计、制造和销售业务。</w:t>
            </w:r>
          </w:p>
          <w:p>
            <w:pPr>
              <w:adjustRightInd w:val="0"/>
              <w:snapToGrid w:val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Resolute</w:t>
            </w:r>
            <w:r>
              <w:rPr>
                <w:rFonts w:hint="eastAsia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基金目前持有目标公司2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/3</w:t>
            </w:r>
            <w:r>
              <w:rPr>
                <w:rFonts w:hint="eastAsia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的表决权并单独控制目标公司。本次交易完成后，华平投资和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Resolute</w:t>
            </w:r>
            <w:r>
              <w:rPr>
                <w:rFonts w:hint="eastAsia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基金将间接共同控制目标公司。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2122" w:type="dxa"/>
            <w:vMerge w:val="restart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rPr>
                <w:rFonts w:ascii="Times New Roman" w:hAnsi="Times New Roman" w:cs="Times New Roman"/>
                <w:b/>
                <w:color w:val="000000" w:themeColor="text1"/>
                <w:kern w:val="0"/>
                <w:sz w:val="24"/>
                <w:szCs w:val="24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参与集中的经营者简介（每个限100字以内）</w:t>
            </w:r>
          </w:p>
        </w:tc>
        <w:tc>
          <w:tcPr>
            <w:tcW w:w="1417" w:type="dxa"/>
            <w:vAlign w:val="center"/>
          </w:tcPr>
          <w:p>
            <w:pPr>
              <w:pStyle w:val="17"/>
              <w:widowControl/>
              <w:adjustRightInd w:val="0"/>
              <w:snapToGrid w:val="0"/>
              <w:ind w:firstLine="0" w:firstLineChars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华平投资</w:t>
            </w:r>
          </w:p>
        </w:tc>
        <w:tc>
          <w:tcPr>
            <w:tcW w:w="6101" w:type="dxa"/>
          </w:tcPr>
          <w:p>
            <w:pPr>
              <w:adjustRightInd w:val="0"/>
              <w:snapToGrid w:val="0"/>
              <w:spacing w:after="156" w:afterLines="50"/>
              <w:jc w:val="left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华平投资于1966年在美国成立，是一家全球性私募股权投资公司，其投资组合公司活跃在</w:t>
            </w:r>
            <w:r>
              <w:rPr>
                <w:rFonts w:hint="eastAsia" w:ascii="Times New Roman" w:hAnsi="Times New Roman" w:cs="Times New Roman"/>
                <w:bCs/>
                <w:color w:val="000000"/>
                <w:sz w:val="24"/>
                <w:szCs w:val="24"/>
              </w:rPr>
              <w:t>能源、金融服务、医疗保健、工业和商业服务、科技、媒体和通信</w:t>
            </w: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等领域。</w:t>
            </w:r>
          </w:p>
          <w:p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华平投资的最终控制人为自然人，与华平投资的主营业务相同。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2122" w:type="dxa"/>
            <w:vMerge w:val="continue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rPr>
                <w:rFonts w:ascii="Times New Roman" w:hAnsi="Times New Roman" w:cs="Times New Roman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7" w:type="dxa"/>
            <w:vAlign w:val="center"/>
          </w:tcPr>
          <w:p>
            <w:pPr>
              <w:pStyle w:val="17"/>
              <w:widowControl/>
              <w:adjustRightInd w:val="0"/>
              <w:snapToGrid w:val="0"/>
              <w:ind w:firstLine="0" w:firstLineChars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Resolute</w:t>
            </w:r>
            <w:r>
              <w:rPr>
                <w:rFonts w:hint="eastAsia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基金</w:t>
            </w:r>
          </w:p>
        </w:tc>
        <w:tc>
          <w:tcPr>
            <w:tcW w:w="6101" w:type="dxa"/>
          </w:tcPr>
          <w:p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Resolute</w:t>
            </w:r>
            <w:r>
              <w:rPr>
                <w:rFonts w:hint="eastAsia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基金于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2020</w:t>
            </w:r>
            <w:r>
              <w:rPr>
                <w:rFonts w:hint="eastAsia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年在美国成立，主要业务为在全球范围内从事股权投资。</w:t>
            </w:r>
          </w:p>
          <w:p>
            <w:pPr>
              <w:widowControl/>
              <w:adjustRightInd w:val="0"/>
              <w:snapToGrid w:val="0"/>
              <w:jc w:val="left"/>
              <w:rPr>
                <w:rFonts w:ascii="Times New Roman" w:hAnsi="Times New Roman" w:eastAsia="楷体_GB2312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Resolute</w:t>
            </w:r>
            <w:r>
              <w:rPr>
                <w:rFonts w:hint="eastAsia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基金的最终控制人为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Resolute Fund Partners VI GP, LLC</w:t>
            </w:r>
            <w:r>
              <w:rPr>
                <w:rFonts w:hint="eastAsia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，与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Resolute</w:t>
            </w:r>
            <w:r>
              <w:rPr>
                <w:rFonts w:hint="eastAsia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基金的主营业务相同。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  <w:jc w:val="center"/>
        </w:trPr>
        <w:tc>
          <w:tcPr>
            <w:tcW w:w="2122" w:type="dxa"/>
            <w:vMerge w:val="restart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rPr>
                <w:rFonts w:ascii="Times New Roman" w:hAnsi="Times New Roman" w:cs="Times New Roman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7518" w:type="dxa"/>
            <w:gridSpan w:val="2"/>
            <w:vAlign w:val="center"/>
          </w:tcPr>
          <w:p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sym w:font="Wingdings" w:char="00FE"/>
            </w: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 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2122" w:type="dxa"/>
            <w:vMerge w:val="continue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rPr>
                <w:rFonts w:ascii="Times New Roman" w:hAnsi="Times New Roman" w:cs="Times New Roman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518" w:type="dxa"/>
            <w:gridSpan w:val="2"/>
            <w:vAlign w:val="center"/>
          </w:tcPr>
          <w:p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sym w:font="Wingdings" w:char="00A8"/>
            </w: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 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122" w:type="dxa"/>
            <w:vMerge w:val="continue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rPr>
                <w:rFonts w:ascii="Times New Roman" w:hAnsi="Times New Roman" w:cs="Times New Roman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518" w:type="dxa"/>
            <w:gridSpan w:val="2"/>
            <w:vAlign w:val="center"/>
          </w:tcPr>
          <w:p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sym w:font="Wingdings" w:char="00A8"/>
            </w: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 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  <w:jc w:val="center"/>
        </w:trPr>
        <w:tc>
          <w:tcPr>
            <w:tcW w:w="2122" w:type="dxa"/>
            <w:vMerge w:val="continue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rPr>
                <w:rFonts w:ascii="Times New Roman" w:hAnsi="Times New Roman" w:cs="Times New Roman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518" w:type="dxa"/>
            <w:gridSpan w:val="2"/>
            <w:vAlign w:val="center"/>
          </w:tcPr>
          <w:p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sym w:font="Wingdings" w:char="00A8"/>
            </w: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 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  <w:jc w:val="center"/>
        </w:trPr>
        <w:tc>
          <w:tcPr>
            <w:tcW w:w="2122" w:type="dxa"/>
            <w:vMerge w:val="continue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rPr>
                <w:rFonts w:ascii="Times New Roman" w:hAnsi="Times New Roman" w:cs="Times New Roman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518" w:type="dxa"/>
            <w:gridSpan w:val="2"/>
            <w:vAlign w:val="center"/>
          </w:tcPr>
          <w:p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sym w:font="Wingdings" w:char="00A8"/>
            </w: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 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  <w:jc w:val="center"/>
        </w:trPr>
        <w:tc>
          <w:tcPr>
            <w:tcW w:w="2122" w:type="dxa"/>
            <w:vMerge w:val="continue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rPr>
                <w:rFonts w:ascii="Times New Roman" w:hAnsi="Times New Roman" w:cs="Times New Roman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518" w:type="dxa"/>
            <w:gridSpan w:val="2"/>
            <w:vAlign w:val="center"/>
          </w:tcPr>
          <w:p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sym w:font="Wingdings" w:char="00A8"/>
            </w: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 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0" w:hRule="atLeast"/>
          <w:jc w:val="center"/>
        </w:trPr>
        <w:tc>
          <w:tcPr>
            <w:tcW w:w="2122" w:type="dxa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rPr>
                <w:rFonts w:ascii="Times New Roman" w:hAnsi="Times New Roman" w:cs="Times New Roman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备注</w:t>
            </w:r>
          </w:p>
        </w:tc>
        <w:tc>
          <w:tcPr>
            <w:tcW w:w="7518" w:type="dxa"/>
            <w:gridSpan w:val="2"/>
          </w:tcPr>
          <w:p>
            <w:pPr>
              <w:adjustRightInd w:val="0"/>
              <w:snapToGrid w:val="0"/>
              <w:jc w:val="left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u w:val="singl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b/>
                <w:color w:val="000000" w:themeColor="text1"/>
                <w:sz w:val="24"/>
                <w:szCs w:val="24"/>
                <w:u w:val="single"/>
                <w14:textFill>
                  <w14:solidFill>
                    <w14:schemeClr w14:val="tx1"/>
                  </w14:solidFill>
                </w14:textFill>
              </w:rPr>
              <w:t>横向重叠</w:t>
            </w:r>
          </w:p>
          <w:p>
            <w:pPr>
              <w:adjustRightInd w:val="0"/>
              <w:snapToGrid w:val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022</w:t>
            </w:r>
            <w:r>
              <w:rPr>
                <w:rFonts w:hint="eastAsia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年全球磁性元件市场</w:t>
            </w:r>
          </w:p>
          <w:p>
            <w:pPr>
              <w:adjustRightInd w:val="0"/>
              <w:snapToGrid w:val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Resolute</w:t>
            </w:r>
            <w:r>
              <w:rPr>
                <w:rFonts w:hint="eastAsia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基金：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[</w:t>
            </w:r>
            <w:r>
              <w:rPr>
                <w:rFonts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0-5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]%</w:t>
            </w:r>
            <w:r>
              <w:rPr>
                <w:rFonts w:hint="eastAsia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；华平投资：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[</w:t>
            </w:r>
            <w:r>
              <w:rPr>
                <w:rFonts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0-5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]%</w:t>
            </w:r>
            <w:r>
              <w:rPr>
                <w:rFonts w:hint="eastAsia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；双方合计：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[</w:t>
            </w:r>
            <w:r>
              <w:rPr>
                <w:rFonts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-</w:t>
            </w:r>
            <w:r>
              <w:rPr>
                <w:rFonts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]%</w:t>
            </w:r>
          </w:p>
          <w:p>
            <w:pPr>
              <w:adjustRightInd w:val="0"/>
              <w:snapToGrid w:val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022</w:t>
            </w:r>
            <w:r>
              <w:rPr>
                <w:rFonts w:hint="eastAsia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年中国境内磁性元件市场</w:t>
            </w:r>
          </w:p>
          <w:p>
            <w:pPr>
              <w:adjustRightInd w:val="0"/>
              <w:snapToGrid w:val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Resolute</w:t>
            </w:r>
            <w:r>
              <w:rPr>
                <w:rFonts w:hint="eastAsia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基金：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[</w:t>
            </w:r>
            <w:r>
              <w:rPr>
                <w:rFonts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0-5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]%</w:t>
            </w:r>
            <w:r>
              <w:rPr>
                <w:rFonts w:hint="eastAsia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；华平投资：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[</w:t>
            </w:r>
            <w:r>
              <w:rPr>
                <w:rFonts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0-5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]%</w:t>
            </w:r>
            <w:r>
              <w:rPr>
                <w:rFonts w:hint="eastAsia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；双方合计：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[</w:t>
            </w:r>
            <w:r>
              <w:rPr>
                <w:rFonts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-</w:t>
            </w:r>
            <w:r>
              <w:rPr>
                <w:rFonts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]%</w:t>
            </w:r>
          </w:p>
        </w:tc>
      </w:tr>
    </w:tbl>
    <w:p>
      <w:pPr>
        <w:rPr>
          <w:rFonts w:ascii="Times New Roman" w:hAnsi="Times New Roman" w:cs="Times New Roman"/>
          <w:color w:val="000000" w:themeColor="text1"/>
          <w:sz w:val="22"/>
          <w14:textFill>
            <w14:solidFill>
              <w14:schemeClr w14:val="tx1"/>
            </w14:solidFill>
          </w14:textFill>
        </w:rPr>
      </w:pPr>
      <w:bookmarkStart w:id="0" w:name="_GoBack"/>
      <w:bookmarkEnd w:id="0"/>
    </w:p>
    <w:sectPr>
      <w:footerReference r:id="rId8" w:type="first"/>
      <w:headerReference r:id="rId5" w:type="default"/>
      <w:footerReference r:id="rId6" w:type="default"/>
      <w:footerReference r:id="rId7" w:type="even"/>
      <w:pgSz w:w="11906" w:h="16838"/>
      <w:pgMar w:top="1440" w:right="1797" w:bottom="1440" w:left="1797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altName w:val="Times New Roman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Segoe UI">
    <w:altName w:val="Noto Naskh Arabic"/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6" w:usb3="00000000" w:csb0="00040001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Liberation Serif">
    <w:panose1 w:val="02020603050405020304"/>
    <w:charset w:val="00"/>
    <w:family w:val="auto"/>
    <w:pitch w:val="default"/>
    <w:sig w:usb0="A00002AF" w:usb1="500078FB" w:usb2="00000000" w:usb3="00000000" w:csb0="6000009F" w:csb1="DFD70000"/>
  </w:font>
  <w:font w:name="Noto Naskh Arabic">
    <w:panose1 w:val="020B0502040504020204"/>
    <w:charset w:val="00"/>
    <w:family w:val="auto"/>
    <w:pitch w:val="default"/>
    <w:sig w:usb0="00002000" w:usb1="80000000" w:usb2="00000008" w:usb3="00000000" w:csb0="00000041" w:csb1="00080000"/>
  </w:font>
  <w:font w:name="方正宋体S-超大字符集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="Times New Roman" w:hAnsi="Times New Roman" w:cs="Times New Roman"/>
      </w:rPr>
      <w:id w:val="-194389227"/>
      <w:docPartObj>
        <w:docPartGallery w:val="autotext"/>
      </w:docPartObj>
    </w:sdtPr>
    <w:sdtEndPr>
      <w:rPr>
        <w:rFonts w:ascii="Times New Roman" w:hAnsi="Times New Roman" w:cs="Times New Roman"/>
      </w:rPr>
    </w:sdtEndPr>
    <w:sdtContent>
      <w:p>
        <w:pPr>
          <w:pStyle w:val="4"/>
          <w:jc w:val="center"/>
          <w:rPr>
            <w:rFonts w:ascii="Times New Roman" w:hAnsi="Times New Roman" w:cs="Times New Roman"/>
          </w:rPr>
        </w:pP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PAGE   \* MERGEFORMAT</w:instrText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  <w:lang w:val="zh-CN"/>
          </w:rPr>
          <w:t>2</w:t>
        </w:r>
        <w:r>
          <w:rPr>
            <w:rFonts w:ascii="Times New Roman" w:hAnsi="Times New Roman" w:cs="Times New Roman"/>
          </w:rPr>
          <w:fldChar w:fldCharType="end"/>
        </w:r>
      </w:p>
    </w:sdtContent>
  </w:sdt>
  <w:p>
    <w:pPr>
      <w:pStyle w:val="4"/>
      <w:jc w:val="center"/>
      <w:rPr>
        <w:rFonts w:ascii="Times New Roman" w:hAnsi="Times New Roman" w:cs="Times New Roman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fldChar w:fldCharType="begin"/>
    </w:r>
    <w:r>
      <w:instrText xml:space="preserve"> DOCPROPERTY DOCXDOCID DMS=InterwovenIManage Format=[&lt;&lt;LIB&gt;&gt; &lt;&lt;NUM&gt;&gt;_&lt;&lt;VER&gt;&gt;] PRESERVELOCATION \* MERGEFORMAT </w:instrText>
    </w:r>
    <w:r>
      <w:fldChar w:fldCharType="separate"/>
    </w:r>
    <w:r>
      <w:t>[AM_ACTIVE 405264120_2]</w:t>
    </w:r>
    <w: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fldChar w:fldCharType="begin"/>
    </w:r>
    <w:r>
      <w:instrText xml:space="preserve"> DOCPROPERTY DOCXDOCID DMS=InterwovenIManage Format=[&lt;&lt;LIB&gt;&gt; &lt;&lt;NUM&gt;&gt;_&lt;&lt;VER&gt;&gt;] PRESERVELOCATION \* MERGEFORMAT </w:instrText>
    </w:r>
    <w:r>
      <w:fldChar w:fldCharType="separate"/>
    </w:r>
    <w:r>
      <w:t>[AM_ACTIVE 405264120_2]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none" w:color="auto" w:sz="0" w:space="0"/>
      </w:pBdr>
      <w:jc w:val="right"/>
      <w:rPr>
        <w:rFonts w:ascii="Times New Roman" w:hAnsi="Times New Roman" w:cs="Times New Roman"/>
        <w:b/>
        <w:i/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true"/>
  <w:bordersDoNotSurroundFooter w:val="true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1C86"/>
    <w:rsid w:val="00000B89"/>
    <w:rsid w:val="0000279C"/>
    <w:rsid w:val="00007231"/>
    <w:rsid w:val="00030071"/>
    <w:rsid w:val="000414C6"/>
    <w:rsid w:val="00041AE9"/>
    <w:rsid w:val="00045290"/>
    <w:rsid w:val="000478B1"/>
    <w:rsid w:val="00051B52"/>
    <w:rsid w:val="00056E9C"/>
    <w:rsid w:val="00057209"/>
    <w:rsid w:val="000626C6"/>
    <w:rsid w:val="000656FA"/>
    <w:rsid w:val="00073487"/>
    <w:rsid w:val="00073E07"/>
    <w:rsid w:val="0008372E"/>
    <w:rsid w:val="00084FAD"/>
    <w:rsid w:val="00091BE6"/>
    <w:rsid w:val="0009609A"/>
    <w:rsid w:val="000B2F47"/>
    <w:rsid w:val="000B7DDC"/>
    <w:rsid w:val="000D454E"/>
    <w:rsid w:val="000E029B"/>
    <w:rsid w:val="000E20C3"/>
    <w:rsid w:val="000E46C1"/>
    <w:rsid w:val="000E6E8F"/>
    <w:rsid w:val="000F3315"/>
    <w:rsid w:val="000F69B0"/>
    <w:rsid w:val="0012581B"/>
    <w:rsid w:val="00131CC7"/>
    <w:rsid w:val="00131F9C"/>
    <w:rsid w:val="00134219"/>
    <w:rsid w:val="00135590"/>
    <w:rsid w:val="00136AF8"/>
    <w:rsid w:val="00137F74"/>
    <w:rsid w:val="0014460D"/>
    <w:rsid w:val="001457F7"/>
    <w:rsid w:val="00147E6C"/>
    <w:rsid w:val="00155262"/>
    <w:rsid w:val="00156807"/>
    <w:rsid w:val="00173377"/>
    <w:rsid w:val="0018524D"/>
    <w:rsid w:val="00191824"/>
    <w:rsid w:val="001A5562"/>
    <w:rsid w:val="001B3541"/>
    <w:rsid w:val="001B3B41"/>
    <w:rsid w:val="001B3D0F"/>
    <w:rsid w:val="001C01F0"/>
    <w:rsid w:val="001C5E05"/>
    <w:rsid w:val="001D2C74"/>
    <w:rsid w:val="001D4A9E"/>
    <w:rsid w:val="001E33D8"/>
    <w:rsid w:val="001E6E8B"/>
    <w:rsid w:val="001E7210"/>
    <w:rsid w:val="001F3A37"/>
    <w:rsid w:val="00221CF6"/>
    <w:rsid w:val="00226109"/>
    <w:rsid w:val="00236B6C"/>
    <w:rsid w:val="00252BD9"/>
    <w:rsid w:val="002602AB"/>
    <w:rsid w:val="00261C86"/>
    <w:rsid w:val="00274F2A"/>
    <w:rsid w:val="00277204"/>
    <w:rsid w:val="00284163"/>
    <w:rsid w:val="002A1659"/>
    <w:rsid w:val="002B4B23"/>
    <w:rsid w:val="002B74DD"/>
    <w:rsid w:val="002B77A9"/>
    <w:rsid w:val="002C028C"/>
    <w:rsid w:val="002C0329"/>
    <w:rsid w:val="002C0B0D"/>
    <w:rsid w:val="002C32D2"/>
    <w:rsid w:val="002D099B"/>
    <w:rsid w:val="002E7CD5"/>
    <w:rsid w:val="002F195A"/>
    <w:rsid w:val="002F509C"/>
    <w:rsid w:val="00300769"/>
    <w:rsid w:val="003025FA"/>
    <w:rsid w:val="00302CE1"/>
    <w:rsid w:val="00302DC8"/>
    <w:rsid w:val="00305E89"/>
    <w:rsid w:val="00312D9B"/>
    <w:rsid w:val="00313820"/>
    <w:rsid w:val="0031563B"/>
    <w:rsid w:val="0031577B"/>
    <w:rsid w:val="0031766D"/>
    <w:rsid w:val="00321887"/>
    <w:rsid w:val="003218A0"/>
    <w:rsid w:val="00322B16"/>
    <w:rsid w:val="00323E75"/>
    <w:rsid w:val="0032477C"/>
    <w:rsid w:val="0032651E"/>
    <w:rsid w:val="00332521"/>
    <w:rsid w:val="00333FE2"/>
    <w:rsid w:val="00347AEE"/>
    <w:rsid w:val="00352D23"/>
    <w:rsid w:val="003545DD"/>
    <w:rsid w:val="00357A53"/>
    <w:rsid w:val="003679C6"/>
    <w:rsid w:val="00374537"/>
    <w:rsid w:val="003C0127"/>
    <w:rsid w:val="003D2493"/>
    <w:rsid w:val="004146D6"/>
    <w:rsid w:val="00414D04"/>
    <w:rsid w:val="004157FE"/>
    <w:rsid w:val="00417AD2"/>
    <w:rsid w:val="00421A2E"/>
    <w:rsid w:val="0043036A"/>
    <w:rsid w:val="004403BD"/>
    <w:rsid w:val="004419AF"/>
    <w:rsid w:val="00447C3D"/>
    <w:rsid w:val="00450191"/>
    <w:rsid w:val="00453CE2"/>
    <w:rsid w:val="004635A4"/>
    <w:rsid w:val="00477381"/>
    <w:rsid w:val="0048779F"/>
    <w:rsid w:val="004A3698"/>
    <w:rsid w:val="004C1408"/>
    <w:rsid w:val="004C146C"/>
    <w:rsid w:val="004C351F"/>
    <w:rsid w:val="004D496E"/>
    <w:rsid w:val="004D60F0"/>
    <w:rsid w:val="004F1ECD"/>
    <w:rsid w:val="00512DCE"/>
    <w:rsid w:val="00523A2D"/>
    <w:rsid w:val="00542D2B"/>
    <w:rsid w:val="00561A51"/>
    <w:rsid w:val="005630EA"/>
    <w:rsid w:val="005657DA"/>
    <w:rsid w:val="0058289E"/>
    <w:rsid w:val="005840F9"/>
    <w:rsid w:val="005A181A"/>
    <w:rsid w:val="005A1DA3"/>
    <w:rsid w:val="005A2BB0"/>
    <w:rsid w:val="005B135A"/>
    <w:rsid w:val="005B73A6"/>
    <w:rsid w:val="005D32FF"/>
    <w:rsid w:val="005E072D"/>
    <w:rsid w:val="005E0853"/>
    <w:rsid w:val="005F10EE"/>
    <w:rsid w:val="00600D70"/>
    <w:rsid w:val="0061294A"/>
    <w:rsid w:val="006257A2"/>
    <w:rsid w:val="00636EF0"/>
    <w:rsid w:val="00645F44"/>
    <w:rsid w:val="00646D1D"/>
    <w:rsid w:val="00651EE0"/>
    <w:rsid w:val="00662607"/>
    <w:rsid w:val="00663132"/>
    <w:rsid w:val="006662F2"/>
    <w:rsid w:val="006701EF"/>
    <w:rsid w:val="00670426"/>
    <w:rsid w:val="006706D6"/>
    <w:rsid w:val="0067759E"/>
    <w:rsid w:val="006A558A"/>
    <w:rsid w:val="006C489C"/>
    <w:rsid w:val="006D1C3C"/>
    <w:rsid w:val="006D1EAF"/>
    <w:rsid w:val="006E6D00"/>
    <w:rsid w:val="006F0718"/>
    <w:rsid w:val="006F5569"/>
    <w:rsid w:val="007169CA"/>
    <w:rsid w:val="00740701"/>
    <w:rsid w:val="00743070"/>
    <w:rsid w:val="00747D08"/>
    <w:rsid w:val="00750133"/>
    <w:rsid w:val="007526CE"/>
    <w:rsid w:val="007601F2"/>
    <w:rsid w:val="0077184C"/>
    <w:rsid w:val="00771F4D"/>
    <w:rsid w:val="00777F58"/>
    <w:rsid w:val="00780E9F"/>
    <w:rsid w:val="0078147C"/>
    <w:rsid w:val="00786A31"/>
    <w:rsid w:val="007973C1"/>
    <w:rsid w:val="007A6335"/>
    <w:rsid w:val="007A7558"/>
    <w:rsid w:val="007C4055"/>
    <w:rsid w:val="007E6C60"/>
    <w:rsid w:val="007F0550"/>
    <w:rsid w:val="007F0DD8"/>
    <w:rsid w:val="00802BAA"/>
    <w:rsid w:val="008113C8"/>
    <w:rsid w:val="00823130"/>
    <w:rsid w:val="00826426"/>
    <w:rsid w:val="008344FE"/>
    <w:rsid w:val="00847E1A"/>
    <w:rsid w:val="00850963"/>
    <w:rsid w:val="00853C2D"/>
    <w:rsid w:val="00861FEB"/>
    <w:rsid w:val="0087033F"/>
    <w:rsid w:val="008752FC"/>
    <w:rsid w:val="008831FD"/>
    <w:rsid w:val="008919BC"/>
    <w:rsid w:val="0089786A"/>
    <w:rsid w:val="008B2A2D"/>
    <w:rsid w:val="008B5AD4"/>
    <w:rsid w:val="008C54E8"/>
    <w:rsid w:val="008D2E4E"/>
    <w:rsid w:val="008E3D44"/>
    <w:rsid w:val="008E5BBE"/>
    <w:rsid w:val="008F298D"/>
    <w:rsid w:val="008F3832"/>
    <w:rsid w:val="008F4D69"/>
    <w:rsid w:val="00901783"/>
    <w:rsid w:val="00901AC6"/>
    <w:rsid w:val="00925B22"/>
    <w:rsid w:val="00926535"/>
    <w:rsid w:val="00930910"/>
    <w:rsid w:val="00931D36"/>
    <w:rsid w:val="009476DE"/>
    <w:rsid w:val="00953E8B"/>
    <w:rsid w:val="009557E4"/>
    <w:rsid w:val="00965FD4"/>
    <w:rsid w:val="0096774C"/>
    <w:rsid w:val="009764D3"/>
    <w:rsid w:val="009767AC"/>
    <w:rsid w:val="00977870"/>
    <w:rsid w:val="009857D2"/>
    <w:rsid w:val="00995577"/>
    <w:rsid w:val="009A0D4C"/>
    <w:rsid w:val="009A3C0D"/>
    <w:rsid w:val="009B5AB2"/>
    <w:rsid w:val="009B7348"/>
    <w:rsid w:val="009C3F95"/>
    <w:rsid w:val="009D00E1"/>
    <w:rsid w:val="009D120D"/>
    <w:rsid w:val="009E4ECA"/>
    <w:rsid w:val="009E7302"/>
    <w:rsid w:val="00A052A3"/>
    <w:rsid w:val="00A14573"/>
    <w:rsid w:val="00A1756F"/>
    <w:rsid w:val="00A3235C"/>
    <w:rsid w:val="00A376A9"/>
    <w:rsid w:val="00A431DB"/>
    <w:rsid w:val="00A4764C"/>
    <w:rsid w:val="00A60545"/>
    <w:rsid w:val="00A67535"/>
    <w:rsid w:val="00A72ADE"/>
    <w:rsid w:val="00A745D4"/>
    <w:rsid w:val="00A823FE"/>
    <w:rsid w:val="00AC040E"/>
    <w:rsid w:val="00AC4384"/>
    <w:rsid w:val="00AE2BFA"/>
    <w:rsid w:val="00AF350F"/>
    <w:rsid w:val="00B05A64"/>
    <w:rsid w:val="00B12CDA"/>
    <w:rsid w:val="00B2736B"/>
    <w:rsid w:val="00B466F7"/>
    <w:rsid w:val="00B472C8"/>
    <w:rsid w:val="00B5791C"/>
    <w:rsid w:val="00B6367C"/>
    <w:rsid w:val="00B6630C"/>
    <w:rsid w:val="00B67D93"/>
    <w:rsid w:val="00B75A3E"/>
    <w:rsid w:val="00B82809"/>
    <w:rsid w:val="00B900BA"/>
    <w:rsid w:val="00BA1DCD"/>
    <w:rsid w:val="00BA5E50"/>
    <w:rsid w:val="00BB6D6B"/>
    <w:rsid w:val="00BB7611"/>
    <w:rsid w:val="00BC077A"/>
    <w:rsid w:val="00BC23C0"/>
    <w:rsid w:val="00BC45DE"/>
    <w:rsid w:val="00BD0EBE"/>
    <w:rsid w:val="00BD2DFF"/>
    <w:rsid w:val="00BE3BAB"/>
    <w:rsid w:val="00BE7C68"/>
    <w:rsid w:val="00BF521C"/>
    <w:rsid w:val="00BF71FA"/>
    <w:rsid w:val="00C04DDD"/>
    <w:rsid w:val="00C05F3D"/>
    <w:rsid w:val="00C15D6A"/>
    <w:rsid w:val="00C37728"/>
    <w:rsid w:val="00C411E7"/>
    <w:rsid w:val="00C449B2"/>
    <w:rsid w:val="00C46A55"/>
    <w:rsid w:val="00C517B8"/>
    <w:rsid w:val="00C54A12"/>
    <w:rsid w:val="00C677C2"/>
    <w:rsid w:val="00C86813"/>
    <w:rsid w:val="00C95EEE"/>
    <w:rsid w:val="00CA2F2E"/>
    <w:rsid w:val="00CA5710"/>
    <w:rsid w:val="00CA5A2A"/>
    <w:rsid w:val="00CA5E08"/>
    <w:rsid w:val="00CB1A0C"/>
    <w:rsid w:val="00CC13FA"/>
    <w:rsid w:val="00CC5250"/>
    <w:rsid w:val="00CF086B"/>
    <w:rsid w:val="00CF2E6F"/>
    <w:rsid w:val="00D32960"/>
    <w:rsid w:val="00D42A84"/>
    <w:rsid w:val="00D42FFE"/>
    <w:rsid w:val="00D504B9"/>
    <w:rsid w:val="00D5603F"/>
    <w:rsid w:val="00D73A73"/>
    <w:rsid w:val="00D84581"/>
    <w:rsid w:val="00DD1B86"/>
    <w:rsid w:val="00DF5732"/>
    <w:rsid w:val="00E03FA8"/>
    <w:rsid w:val="00E24651"/>
    <w:rsid w:val="00E25223"/>
    <w:rsid w:val="00E307FC"/>
    <w:rsid w:val="00E42135"/>
    <w:rsid w:val="00E5703B"/>
    <w:rsid w:val="00E6219A"/>
    <w:rsid w:val="00E6489E"/>
    <w:rsid w:val="00E7082A"/>
    <w:rsid w:val="00E82358"/>
    <w:rsid w:val="00E861D6"/>
    <w:rsid w:val="00E90E4B"/>
    <w:rsid w:val="00EB02FD"/>
    <w:rsid w:val="00EC0506"/>
    <w:rsid w:val="00EC2A52"/>
    <w:rsid w:val="00ED0937"/>
    <w:rsid w:val="00EE1D44"/>
    <w:rsid w:val="00EF34AD"/>
    <w:rsid w:val="00EF54E0"/>
    <w:rsid w:val="00F05A02"/>
    <w:rsid w:val="00F20D3C"/>
    <w:rsid w:val="00F22391"/>
    <w:rsid w:val="00F41C3E"/>
    <w:rsid w:val="00F45777"/>
    <w:rsid w:val="00F464ED"/>
    <w:rsid w:val="00F47F12"/>
    <w:rsid w:val="00F500F3"/>
    <w:rsid w:val="00F52CAF"/>
    <w:rsid w:val="00F60A57"/>
    <w:rsid w:val="00F61602"/>
    <w:rsid w:val="00F75DF5"/>
    <w:rsid w:val="00F80455"/>
    <w:rsid w:val="00F86499"/>
    <w:rsid w:val="00F97FDA"/>
    <w:rsid w:val="00FA229E"/>
    <w:rsid w:val="00FA6DB3"/>
    <w:rsid w:val="00FB02C7"/>
    <w:rsid w:val="00FC42EC"/>
    <w:rsid w:val="00FD0593"/>
    <w:rsid w:val="00FD3F31"/>
    <w:rsid w:val="00FE56A9"/>
    <w:rsid w:val="00FF7F1D"/>
    <w:rsid w:val="3E6F9F7E"/>
    <w:rsid w:val="6EFFEA88"/>
    <w:rsid w:val="BF2FC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59" w:lineRule="auto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4"/>
    <w:unhideWhenUsed/>
    <w:qFormat/>
    <w:uiPriority w:val="99"/>
    <w:rPr>
      <w:sz w:val="20"/>
      <w:szCs w:val="20"/>
    </w:rPr>
  </w:style>
  <w:style w:type="paragraph" w:styleId="3">
    <w:name w:val="Balloon Text"/>
    <w:basedOn w:val="1"/>
    <w:link w:val="16"/>
    <w:semiHidden/>
    <w:unhideWhenUsed/>
    <w:qFormat/>
    <w:uiPriority w:val="99"/>
    <w:rPr>
      <w:rFonts w:ascii="Segoe UI" w:hAnsi="Segoe UI" w:cs="Segoe UI"/>
      <w:sz w:val="18"/>
      <w:szCs w:val="18"/>
    </w:rPr>
  </w:style>
  <w:style w:type="paragraph" w:styleId="4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15"/>
    <w:semiHidden/>
    <w:unhideWhenUsed/>
    <w:qFormat/>
    <w:uiPriority w:val="99"/>
    <w:rPr>
      <w:b/>
      <w:bCs/>
    </w:rPr>
  </w:style>
  <w:style w:type="character" w:styleId="9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0">
    <w:name w:val="annotation reference"/>
    <w:basedOn w:val="8"/>
    <w:semiHidden/>
    <w:unhideWhenUsed/>
    <w:qFormat/>
    <w:uiPriority w:val="99"/>
    <w:rPr>
      <w:sz w:val="16"/>
      <w:szCs w:val="16"/>
    </w:rPr>
  </w:style>
  <w:style w:type="character" w:customStyle="1" w:styleId="11">
    <w:name w:val="页眉 字符"/>
    <w:basedOn w:val="8"/>
    <w:link w:val="5"/>
    <w:qFormat/>
    <w:uiPriority w:val="99"/>
    <w:rPr>
      <w:sz w:val="18"/>
      <w:szCs w:val="18"/>
    </w:rPr>
  </w:style>
  <w:style w:type="character" w:customStyle="1" w:styleId="12">
    <w:name w:val="页脚 字符"/>
    <w:basedOn w:val="8"/>
    <w:link w:val="4"/>
    <w:qFormat/>
    <w:uiPriority w:val="99"/>
    <w:rPr>
      <w:sz w:val="18"/>
      <w:szCs w:val="18"/>
    </w:rPr>
  </w:style>
  <w:style w:type="paragraph" w:customStyle="1" w:styleId="13">
    <w:name w:val="彩色列表 - 强调文字颜色 11"/>
    <w:basedOn w:val="1"/>
    <w:qFormat/>
    <w:uiPriority w:val="34"/>
    <w:pPr>
      <w:ind w:firstLine="420" w:firstLineChars="200"/>
    </w:pPr>
    <w:rPr>
      <w:rFonts w:ascii="Times New Roman" w:hAnsi="Times New Roman" w:eastAsia="宋体" w:cs="Times New Roman"/>
      <w:szCs w:val="24"/>
    </w:rPr>
  </w:style>
  <w:style w:type="character" w:customStyle="1" w:styleId="14">
    <w:name w:val="批注文字 字符"/>
    <w:basedOn w:val="8"/>
    <w:link w:val="2"/>
    <w:qFormat/>
    <w:uiPriority w:val="99"/>
    <w:rPr>
      <w:kern w:val="2"/>
    </w:rPr>
  </w:style>
  <w:style w:type="character" w:customStyle="1" w:styleId="15">
    <w:name w:val="批注主题 字符"/>
    <w:basedOn w:val="14"/>
    <w:link w:val="6"/>
    <w:semiHidden/>
    <w:qFormat/>
    <w:uiPriority w:val="99"/>
    <w:rPr>
      <w:b/>
      <w:bCs/>
      <w:kern w:val="2"/>
      <w:sz w:val="20"/>
      <w:szCs w:val="20"/>
    </w:rPr>
  </w:style>
  <w:style w:type="character" w:customStyle="1" w:styleId="16">
    <w:name w:val="批注框文本 字符"/>
    <w:basedOn w:val="8"/>
    <w:link w:val="3"/>
    <w:semiHidden/>
    <w:qFormat/>
    <w:uiPriority w:val="99"/>
    <w:rPr>
      <w:rFonts w:ascii="Segoe UI" w:hAnsi="Segoe UI" w:cs="Segoe UI"/>
      <w:sz w:val="18"/>
      <w:szCs w:val="18"/>
    </w:rPr>
  </w:style>
  <w:style w:type="paragraph" w:styleId="17">
    <w:name w:val="List Paragraph"/>
    <w:basedOn w:val="1"/>
    <w:qFormat/>
    <w:uiPriority w:val="34"/>
    <w:pPr>
      <w:ind w:firstLine="420" w:firstLineChars="200"/>
    </w:pPr>
  </w:style>
  <w:style w:type="character" w:customStyle="1" w:styleId="18">
    <w:name w:val="Unresolved Mention1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19">
    <w:name w:val="Revision"/>
    <w:hidden/>
    <w:semiHidden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KWM</Company>
  <Pages>2</Pages>
  <Words>154</Words>
  <Characters>878</Characters>
  <Lines>7</Lines>
  <Paragraphs>2</Paragraphs>
  <TotalTime>27</TotalTime>
  <ScaleCrop>false</ScaleCrop>
  <LinksUpToDate>false</LinksUpToDate>
  <CharactersWithSpaces>1030</CharactersWithSpaces>
  <Application>WPS Office_11.8.2.10552_F1E327BC-269C-435d-A152-05C5408002CA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2023-10-05T14:57:00Z</dcterms:created>
  <dc:creator>Fangda</dc:creator>
  <cp:lastModifiedBy>oa</cp:lastModifiedBy>
  <cp:lastPrinted>1900-01-01T13:00:00Z</cp:lastPrinted>
  <dcterms:modified xsi:type="dcterms:W3CDTF">2023-11-14T14:40:56Z</dcterms:modified>
  <cp:revision>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f60613-a741-4790-ba46-c6813ca61c58_Enabled">
    <vt:lpwstr>true</vt:lpwstr>
  </property>
  <property fmtid="{D5CDD505-2E9C-101B-9397-08002B2CF9AE}" pid="3" name="MSIP_Label_bff60613-a741-4790-ba46-c6813ca61c58_SetDate">
    <vt:lpwstr>2022-12-22T16:58:21Z</vt:lpwstr>
  </property>
  <property fmtid="{D5CDD505-2E9C-101B-9397-08002B2CF9AE}" pid="4" name="MSIP_Label_bff60613-a741-4790-ba46-c6813ca61c58_Method">
    <vt:lpwstr>Standard</vt:lpwstr>
  </property>
  <property fmtid="{D5CDD505-2E9C-101B-9397-08002B2CF9AE}" pid="5" name="MSIP_Label_bff60613-a741-4790-ba46-c6813ca61c58_Name">
    <vt:lpwstr>Confidential</vt:lpwstr>
  </property>
  <property fmtid="{D5CDD505-2E9C-101B-9397-08002B2CF9AE}" pid="6" name="MSIP_Label_bff60613-a741-4790-ba46-c6813ca61c58_SiteId">
    <vt:lpwstr>568a5434-7d3f-4714-b824-fe722e2748c0</vt:lpwstr>
  </property>
  <property fmtid="{D5CDD505-2E9C-101B-9397-08002B2CF9AE}" pid="7" name="MSIP_Label_bff60613-a741-4790-ba46-c6813ca61c58_ActionId">
    <vt:lpwstr>188b62c1-f162-4b88-9dc3-3e911e214275</vt:lpwstr>
  </property>
  <property fmtid="{D5CDD505-2E9C-101B-9397-08002B2CF9AE}" pid="8" name="MSIP_Label_bff60613-a741-4790-ba46-c6813ca61c58_ContentBits">
    <vt:lpwstr>0</vt:lpwstr>
  </property>
  <property fmtid="{D5CDD505-2E9C-101B-9397-08002B2CF9AE}" pid="9" name="DOCXDOCID">
    <vt:lpwstr>[AM_ACTIVE 405264120_2]</vt:lpwstr>
  </property>
  <property fmtid="{D5CDD505-2E9C-101B-9397-08002B2CF9AE}" pid="10" name="DocXLocation">
    <vt:lpwstr>Every Page</vt:lpwstr>
  </property>
  <property fmtid="{D5CDD505-2E9C-101B-9397-08002B2CF9AE}" pid="11" name="DocXFormat">
    <vt:lpwstr>CGSH</vt:lpwstr>
  </property>
  <property fmtid="{D5CDD505-2E9C-101B-9397-08002B2CF9AE}" pid="12" name="KSOProductBuildVer">
    <vt:lpwstr>2052-11.8.2.10552</vt:lpwstr>
  </property>
</Properties>
</file>