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imes New Roman" w:hAnsi="Times New Roman" w:eastAsia="方正小标宋简体" w:cs="Times New Roman"/>
          <w:kern w:val="2"/>
          <w:sz w:val="44"/>
          <w:szCs w:val="36"/>
          <w:lang w:val="en-US" w:eastAsia="zh-CN" w:bidi="ar-SA"/>
        </w:rPr>
      </w:pPr>
      <w:r>
        <w:rPr>
          <w:rFonts w:ascii="Times New Roman" w:hAnsi="Times New Roman" w:eastAsia="方正小标宋简体" w:cs="Times New Roman"/>
          <w:kern w:val="2"/>
          <w:sz w:val="44"/>
          <w:szCs w:val="36"/>
          <w:lang w:val="en-US" w:eastAsia="zh-CN" w:bidi="ar-SA"/>
        </w:rPr>
        <w:t>经营者集中简易案件公示表</w:t>
      </w: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jc w:val="cente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案件名称</w:t>
            </w: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kern w:val="0"/>
                <w:sz w:val="21"/>
                <w:szCs w:val="21"/>
              </w:rPr>
              <w:t>珠海华发城市运营投资控股有限公司收购珠海奥粤能源有限公司股权案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93" w:hRule="atLeast"/>
        </w:trPr>
        <w:tc>
          <w:tcPr>
            <w:tcW w:w="1809" w:type="dxa"/>
            <w:shd w:val="clear" w:color="auto" w:fill="D9D9D9"/>
            <w:vAlign w:val="center"/>
          </w:tcPr>
          <w:p>
            <w:pPr>
              <w:jc w:val="cente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交易概况</w:t>
            </w:r>
          </w:p>
          <w:p>
            <w:pPr>
              <w:jc w:val="cente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（限200字内）</w:t>
            </w: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kern w:val="0"/>
                <w:sz w:val="21"/>
                <w:szCs w:val="21"/>
              </w:rPr>
              <w:t>珠海华发城市运营投资控股有限公司</w:t>
            </w:r>
            <w:r>
              <w:rPr>
                <w:rFonts w:hint="eastAsia" w:ascii="宋体" w:hAnsi="宋体" w:eastAsia="宋体" w:cs="宋体"/>
                <w:color w:val="333333"/>
                <w:kern w:val="0"/>
                <w:sz w:val="21"/>
                <w:szCs w:val="21"/>
                <w:lang w:eastAsia="zh-Hans"/>
              </w:rPr>
              <w:t>（“华发城运”）与珠海电力实业有限公司（“电力实业”）签署《增资协议》，拟以增资入股方式收购</w:t>
            </w:r>
            <w:r>
              <w:rPr>
                <w:rFonts w:hint="eastAsia" w:ascii="宋体" w:hAnsi="宋体" w:eastAsia="宋体" w:cs="宋体"/>
                <w:kern w:val="0"/>
                <w:sz w:val="21"/>
                <w:szCs w:val="21"/>
              </w:rPr>
              <w:t>珠海奥粤能源有限公司（“奥粤能源”）</w:t>
            </w:r>
            <w:r>
              <w:rPr>
                <w:rFonts w:hint="eastAsia" w:ascii="宋体" w:hAnsi="宋体" w:eastAsia="宋体" w:cs="宋体"/>
                <w:color w:val="333333"/>
                <w:kern w:val="0"/>
                <w:sz w:val="21"/>
                <w:szCs w:val="21"/>
                <w:lang w:eastAsia="zh-Hans"/>
              </w:rPr>
              <w:t>51%</w:t>
            </w:r>
            <w:r>
              <w:rPr>
                <w:rFonts w:hint="eastAsia" w:ascii="宋体" w:hAnsi="宋体" w:eastAsia="宋体" w:cs="宋体"/>
                <w:kern w:val="0"/>
                <w:sz w:val="21"/>
                <w:szCs w:val="21"/>
              </w:rPr>
              <w:t>的股权</w:t>
            </w:r>
            <w:r>
              <w:rPr>
                <w:rFonts w:hint="eastAsia" w:ascii="宋体" w:hAnsi="宋体" w:eastAsia="宋体" w:cs="宋体"/>
                <w:color w:val="333333"/>
                <w:kern w:val="0"/>
                <w:sz w:val="21"/>
                <w:szCs w:val="21"/>
                <w:lang w:eastAsia="zh-Hans"/>
              </w:rPr>
              <w:t>。奥粤能源主要从事电力工程施工</w:t>
            </w:r>
            <w:r>
              <w:rPr>
                <w:rFonts w:hint="eastAsia" w:ascii="宋体" w:hAnsi="宋体" w:eastAsia="宋体" w:cs="宋体"/>
                <w:color w:val="333333"/>
                <w:kern w:val="0"/>
                <w:sz w:val="21"/>
                <w:szCs w:val="21"/>
              </w:rPr>
              <w:t>。</w:t>
            </w:r>
            <w:r>
              <w:rPr>
                <w:rFonts w:hint="eastAsia" w:ascii="宋体" w:hAnsi="宋体" w:eastAsia="宋体" w:cs="宋体"/>
                <w:color w:val="333333"/>
                <w:kern w:val="0"/>
                <w:sz w:val="21"/>
                <w:szCs w:val="21"/>
                <w:lang w:eastAsia="zh-Hans"/>
              </w:rPr>
              <w:t>交易前，电力实业单独控制奥粤能源，持有其</w:t>
            </w:r>
            <w:r>
              <w:rPr>
                <w:rFonts w:hint="eastAsia" w:ascii="宋体" w:hAnsi="宋体" w:eastAsia="宋体" w:cs="宋体"/>
                <w:color w:val="333333"/>
                <w:kern w:val="0"/>
                <w:sz w:val="21"/>
                <w:szCs w:val="21"/>
              </w:rPr>
              <w:t>100%的股权；</w:t>
            </w:r>
            <w:r>
              <w:rPr>
                <w:rFonts w:hint="eastAsia" w:ascii="宋体" w:hAnsi="宋体" w:eastAsia="宋体" w:cs="宋体"/>
                <w:color w:val="333333"/>
                <w:kern w:val="0"/>
                <w:sz w:val="21"/>
                <w:szCs w:val="21"/>
                <w:lang w:eastAsia="zh-Hans"/>
              </w:rPr>
              <w:t>交易完成后，华发城运和电力实业将分别持有奥粤能源51%和49%的股权，共同控制合营企业。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jc w:val="cente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参与集中的</w:t>
            </w:r>
          </w:p>
          <w:p>
            <w:pPr>
              <w:jc w:val="cente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经营者简介</w:t>
            </w:r>
          </w:p>
        </w:tc>
        <w:tc>
          <w:tcPr>
            <w:tcW w:w="1796" w:type="dxa"/>
            <w:vAlign w:val="top"/>
          </w:tcPr>
          <w:p>
            <w:pPr>
              <w:rPr>
                <w:rFonts w:hint="eastAsia" w:ascii="宋体" w:hAnsi="宋体" w:eastAsia="宋体" w:cs="宋体"/>
                <w:color w:val="333333"/>
                <w:kern w:val="0"/>
                <w:sz w:val="21"/>
                <w:szCs w:val="21"/>
                <w:lang w:eastAsia="zh-Hans"/>
              </w:rPr>
            </w:pPr>
            <w:r>
              <w:rPr>
                <w:rFonts w:hint="eastAsia" w:ascii="宋体" w:hAnsi="宋体" w:eastAsia="宋体" w:cs="宋体"/>
                <w:color w:val="333333"/>
                <w:kern w:val="0"/>
                <w:sz w:val="21"/>
                <w:szCs w:val="21"/>
              </w:rPr>
              <w:t>1、</w:t>
            </w:r>
            <w:r>
              <w:rPr>
                <w:rFonts w:hint="eastAsia" w:ascii="宋体" w:hAnsi="宋体" w:eastAsia="宋体" w:cs="宋体"/>
                <w:color w:val="333333"/>
                <w:kern w:val="0"/>
                <w:sz w:val="21"/>
                <w:szCs w:val="21"/>
                <w:lang w:eastAsia="zh-Hans"/>
              </w:rPr>
              <w:t>华发城运</w:t>
            </w:r>
          </w:p>
        </w:tc>
        <w:tc>
          <w:tcPr>
            <w:tcW w:w="5153" w:type="dxa"/>
            <w:vAlign w:val="top"/>
          </w:tcPr>
          <w:p>
            <w:pPr>
              <w:rPr>
                <w:rFonts w:hint="eastAsia" w:ascii="宋体" w:hAnsi="宋体" w:eastAsia="宋体" w:cs="宋体"/>
                <w:color w:val="333333"/>
                <w:kern w:val="0"/>
                <w:sz w:val="21"/>
                <w:szCs w:val="21"/>
                <w:lang w:eastAsia="zh-Hans"/>
              </w:rPr>
            </w:pPr>
            <w:r>
              <w:rPr>
                <w:rFonts w:hint="eastAsia" w:ascii="宋体" w:hAnsi="宋体" w:eastAsia="宋体" w:cs="宋体"/>
                <w:color w:val="333333"/>
                <w:kern w:val="0"/>
                <w:sz w:val="21"/>
                <w:szCs w:val="21"/>
              </w:rPr>
              <w:t>华发城运</w:t>
            </w:r>
            <w:r>
              <w:rPr>
                <w:rFonts w:hint="eastAsia" w:ascii="宋体" w:hAnsi="宋体" w:eastAsia="宋体" w:cs="宋体"/>
                <w:color w:val="333333"/>
                <w:kern w:val="0"/>
                <w:sz w:val="21"/>
                <w:szCs w:val="21"/>
                <w:lang w:eastAsia="zh-Hans"/>
              </w:rPr>
              <w:t>于2011年10月27日成立于</w:t>
            </w:r>
            <w:r>
              <w:rPr>
                <w:rFonts w:hint="eastAsia" w:ascii="宋体" w:hAnsi="宋体" w:eastAsia="宋体" w:cs="宋体"/>
                <w:color w:val="333333"/>
                <w:kern w:val="0"/>
                <w:sz w:val="21"/>
                <w:szCs w:val="21"/>
              </w:rPr>
              <w:t>广东省珠海市</w:t>
            </w:r>
            <w:r>
              <w:rPr>
                <w:rFonts w:hint="eastAsia" w:ascii="宋体" w:hAnsi="宋体" w:eastAsia="宋体" w:cs="宋体"/>
                <w:color w:val="333333"/>
                <w:kern w:val="0"/>
                <w:sz w:val="21"/>
                <w:szCs w:val="21"/>
                <w:lang w:eastAsia="zh-Hans"/>
              </w:rPr>
              <w:t>，主要业务为城市开发、工程施工等。</w:t>
            </w:r>
          </w:p>
          <w:p>
            <w:pPr>
              <w:rPr>
                <w:rFonts w:hint="eastAsia" w:ascii="宋体" w:hAnsi="宋体" w:eastAsia="宋体" w:cs="宋体"/>
                <w:color w:val="333333"/>
                <w:kern w:val="0"/>
                <w:sz w:val="21"/>
                <w:szCs w:val="21"/>
                <w:lang w:eastAsia="zh-Hans"/>
              </w:rPr>
            </w:pPr>
            <w:r>
              <w:rPr>
                <w:rFonts w:hint="eastAsia" w:ascii="宋体" w:hAnsi="宋体" w:eastAsia="宋体" w:cs="宋体"/>
                <w:color w:val="333333"/>
                <w:kern w:val="0"/>
                <w:sz w:val="21"/>
                <w:szCs w:val="21"/>
                <w:lang w:eastAsia="zh-Hans"/>
              </w:rPr>
              <w:t>其最终控制人为珠海华发集团有限公司，主要从事城市运营、房产开发、金融产业等。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jc w:val="center"/>
              <w:rPr>
                <w:rFonts w:hint="eastAsia" w:ascii="宋体" w:hAnsi="宋体" w:eastAsia="宋体" w:cs="宋体"/>
                <w:color w:val="333333"/>
                <w:kern w:val="0"/>
                <w:sz w:val="21"/>
                <w:szCs w:val="21"/>
              </w:rPr>
            </w:pPr>
          </w:p>
        </w:tc>
        <w:tc>
          <w:tcPr>
            <w:tcW w:w="1796" w:type="dxa"/>
            <w:vAlign w:val="top"/>
          </w:tcPr>
          <w:p>
            <w:pPr>
              <w:rPr>
                <w:rFonts w:hint="eastAsia" w:ascii="宋体" w:hAnsi="宋体" w:eastAsia="宋体" w:cs="宋体"/>
                <w:color w:val="333333"/>
                <w:kern w:val="0"/>
                <w:sz w:val="21"/>
                <w:szCs w:val="21"/>
                <w:lang w:eastAsia="zh-Hans"/>
              </w:rPr>
            </w:pPr>
            <w:r>
              <w:rPr>
                <w:rFonts w:hint="eastAsia" w:ascii="宋体" w:hAnsi="宋体" w:eastAsia="宋体" w:cs="宋体"/>
                <w:color w:val="333333"/>
                <w:kern w:val="0"/>
                <w:sz w:val="21"/>
                <w:szCs w:val="21"/>
              </w:rPr>
              <w:t>2、</w:t>
            </w:r>
            <w:r>
              <w:rPr>
                <w:rFonts w:hint="eastAsia" w:ascii="宋体" w:hAnsi="宋体" w:eastAsia="宋体" w:cs="宋体"/>
                <w:color w:val="333333"/>
                <w:kern w:val="0"/>
                <w:sz w:val="21"/>
                <w:szCs w:val="21"/>
                <w:lang w:eastAsia="zh-Hans"/>
              </w:rPr>
              <w:t>电力实业</w:t>
            </w:r>
          </w:p>
        </w:tc>
        <w:tc>
          <w:tcPr>
            <w:tcW w:w="5153" w:type="dxa"/>
            <w:vAlign w:val="top"/>
          </w:tcPr>
          <w:p>
            <w:pP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lang w:eastAsia="zh-Hans"/>
              </w:rPr>
              <w:t>电力实业于1986年6月1日成立于广东省珠海市，主要从事电力工程施工等</w:t>
            </w:r>
            <w:r>
              <w:rPr>
                <w:rFonts w:hint="eastAsia" w:ascii="宋体" w:hAnsi="宋体" w:eastAsia="宋体" w:cs="宋体"/>
                <w:color w:val="333333"/>
                <w:kern w:val="0"/>
                <w:sz w:val="21"/>
                <w:szCs w:val="21"/>
              </w:rPr>
              <w:t>。</w:t>
            </w:r>
          </w:p>
          <w:p>
            <w:pPr>
              <w:rPr>
                <w:rFonts w:hint="eastAsia" w:ascii="宋体" w:hAnsi="宋体" w:eastAsia="宋体" w:cs="宋体"/>
                <w:color w:val="333333"/>
                <w:kern w:val="0"/>
                <w:sz w:val="21"/>
                <w:szCs w:val="21"/>
                <w:lang w:eastAsia="zh-Hans"/>
              </w:rPr>
            </w:pPr>
            <w:r>
              <w:rPr>
                <w:rFonts w:hint="eastAsia" w:ascii="宋体" w:hAnsi="宋体" w:eastAsia="宋体" w:cs="宋体"/>
                <w:color w:val="333333"/>
                <w:kern w:val="0"/>
                <w:sz w:val="21"/>
                <w:szCs w:val="21"/>
                <w:lang w:eastAsia="zh-Hans"/>
              </w:rPr>
              <w:t>其最终控制人为</w:t>
            </w:r>
            <w:r>
              <w:rPr>
                <w:rFonts w:hint="eastAsia" w:ascii="宋体" w:hAnsi="宋体" w:eastAsia="宋体" w:cs="宋体"/>
                <w:color w:val="333333"/>
                <w:kern w:val="0"/>
                <w:sz w:val="21"/>
                <w:szCs w:val="21"/>
              </w:rPr>
              <w:t>中国南方电网有限责任公司</w:t>
            </w:r>
            <w:r>
              <w:rPr>
                <w:rFonts w:hint="eastAsia" w:ascii="宋体" w:hAnsi="宋体" w:eastAsia="宋体" w:cs="宋体"/>
                <w:color w:val="333333"/>
                <w:kern w:val="0"/>
                <w:sz w:val="21"/>
                <w:szCs w:val="21"/>
                <w:lang w:eastAsia="zh-Hans"/>
              </w:rPr>
              <w:t>，主要从事南方五省区电力供应、区域电网管理、电力交易与调度业务。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jc w:val="center"/>
              <w:rPr>
                <w:rFonts w:hint="eastAsia" w:ascii="宋体" w:hAnsi="宋体" w:eastAsia="宋体" w:cs="宋体"/>
                <w:color w:val="333333"/>
                <w:kern w:val="0"/>
                <w:sz w:val="21"/>
                <w:szCs w:val="21"/>
                <w:highlight w:val="yellow"/>
              </w:rPr>
            </w:pPr>
            <w:r>
              <w:rPr>
                <w:rFonts w:hint="eastAsia" w:ascii="宋体" w:hAnsi="宋体" w:eastAsia="宋体" w:cs="宋体"/>
                <w:color w:val="333333"/>
                <w:kern w:val="0"/>
                <w:sz w:val="21"/>
                <w:szCs w:val="21"/>
              </w:rPr>
              <w:t>简易案件理由（可以单选，也可以多选）</w:t>
            </w: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bCs/>
                <w:color w:val="000000"/>
                <w:sz w:val="21"/>
                <w:szCs w:val="21"/>
              </w:rPr>
              <w:sym w:font="Wingdings" w:char="00A8"/>
            </w:r>
            <w:r>
              <w:rPr>
                <w:rFonts w:hint="eastAsia" w:ascii="宋体" w:hAnsi="宋体" w:eastAsia="宋体" w:cs="宋体"/>
                <w:color w:val="333333"/>
                <w:kern w:val="0"/>
                <w:sz w:val="21"/>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jc w:val="center"/>
              <w:rPr>
                <w:rFonts w:hint="eastAsia" w:ascii="宋体" w:hAnsi="宋体" w:eastAsia="宋体" w:cs="宋体"/>
                <w:color w:val="333333"/>
                <w:kern w:val="0"/>
                <w:sz w:val="21"/>
                <w:szCs w:val="21"/>
                <w:highlight w:val="yellow"/>
              </w:rPr>
            </w:pP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bCs/>
                <w:color w:val="000000"/>
                <w:sz w:val="21"/>
                <w:szCs w:val="21"/>
              </w:rPr>
              <w:sym w:font="Wingdings" w:char="00A8"/>
            </w:r>
            <w:r>
              <w:rPr>
                <w:rFonts w:hint="eastAsia" w:ascii="宋体" w:hAnsi="宋体" w:eastAsia="宋体" w:cs="宋体"/>
                <w:color w:val="333333"/>
                <w:kern w:val="0"/>
                <w:sz w:val="21"/>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jc w:val="center"/>
              <w:rPr>
                <w:rFonts w:hint="eastAsia" w:ascii="宋体" w:hAnsi="宋体" w:eastAsia="宋体" w:cs="宋体"/>
                <w:color w:val="333333"/>
                <w:kern w:val="0"/>
                <w:sz w:val="21"/>
                <w:szCs w:val="21"/>
              </w:rPr>
            </w:pP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bCs/>
                <w:color w:val="000000"/>
                <w:sz w:val="21"/>
                <w:szCs w:val="21"/>
              </w:rPr>
              <w:sym w:font="Wingdings" w:char="00FE"/>
            </w:r>
            <w:r>
              <w:rPr>
                <w:rFonts w:hint="eastAsia" w:ascii="宋体" w:hAnsi="宋体" w:eastAsia="宋体" w:cs="宋体"/>
                <w:color w:val="333333"/>
                <w:kern w:val="0"/>
                <w:sz w:val="21"/>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632" w:hRule="atLeast"/>
        </w:trPr>
        <w:tc>
          <w:tcPr>
            <w:tcW w:w="1809" w:type="dxa"/>
            <w:vMerge w:val="continue"/>
            <w:shd w:val="clear" w:color="auto" w:fill="D9D9D9"/>
            <w:vAlign w:val="center"/>
          </w:tcPr>
          <w:p>
            <w:pPr>
              <w:jc w:val="center"/>
              <w:rPr>
                <w:rFonts w:hint="eastAsia" w:ascii="宋体" w:hAnsi="宋体" w:eastAsia="宋体" w:cs="宋体"/>
                <w:color w:val="333333"/>
                <w:kern w:val="0"/>
                <w:sz w:val="21"/>
                <w:szCs w:val="21"/>
              </w:rPr>
            </w:pP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bCs/>
                <w:color w:val="000000"/>
                <w:sz w:val="21"/>
                <w:szCs w:val="21"/>
              </w:rPr>
              <w:sym w:font="Wingdings" w:char="00A8"/>
            </w:r>
            <w:r>
              <w:rPr>
                <w:rFonts w:hint="eastAsia" w:ascii="宋体" w:hAnsi="宋体" w:eastAsia="宋体" w:cs="宋体"/>
                <w:color w:val="333333"/>
                <w:kern w:val="0"/>
                <w:sz w:val="21"/>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jc w:val="center"/>
              <w:rPr>
                <w:rFonts w:hint="eastAsia" w:ascii="宋体" w:hAnsi="宋体" w:eastAsia="宋体" w:cs="宋体"/>
                <w:color w:val="333333"/>
                <w:kern w:val="0"/>
                <w:sz w:val="21"/>
                <w:szCs w:val="21"/>
              </w:rPr>
            </w:pP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bCs/>
                <w:color w:val="000000"/>
                <w:sz w:val="21"/>
                <w:szCs w:val="21"/>
              </w:rPr>
              <w:sym w:font="Wingdings" w:char="00A8"/>
            </w:r>
            <w:r>
              <w:rPr>
                <w:rFonts w:hint="eastAsia" w:ascii="宋体" w:hAnsi="宋体" w:eastAsia="宋体" w:cs="宋体"/>
                <w:color w:val="333333"/>
                <w:kern w:val="0"/>
                <w:sz w:val="21"/>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jc w:val="center"/>
              <w:rPr>
                <w:rFonts w:hint="eastAsia" w:ascii="宋体" w:hAnsi="宋体" w:eastAsia="宋体" w:cs="宋体"/>
                <w:color w:val="333333"/>
                <w:kern w:val="0"/>
                <w:sz w:val="21"/>
                <w:szCs w:val="21"/>
              </w:rPr>
            </w:pPr>
          </w:p>
        </w:tc>
        <w:tc>
          <w:tcPr>
            <w:tcW w:w="6949" w:type="dxa"/>
            <w:gridSpan w:val="2"/>
            <w:vAlign w:val="top"/>
          </w:tcPr>
          <w:p>
            <w:pPr>
              <w:rPr>
                <w:rFonts w:hint="eastAsia" w:ascii="宋体" w:hAnsi="宋体" w:eastAsia="宋体" w:cs="宋体"/>
                <w:color w:val="333333"/>
                <w:kern w:val="0"/>
                <w:sz w:val="21"/>
                <w:szCs w:val="21"/>
              </w:rPr>
            </w:pPr>
            <w:r>
              <w:rPr>
                <w:rFonts w:hint="eastAsia" w:ascii="宋体" w:hAnsi="宋体" w:eastAsia="宋体" w:cs="宋体"/>
                <w:bCs/>
                <w:color w:val="000000"/>
                <w:sz w:val="21"/>
                <w:szCs w:val="21"/>
              </w:rPr>
              <w:sym w:font="Wingdings" w:char="00A8"/>
            </w:r>
            <w:r>
              <w:rPr>
                <w:rFonts w:hint="eastAsia" w:ascii="宋体" w:hAnsi="宋体" w:eastAsia="宋体" w:cs="宋体"/>
                <w:color w:val="333333"/>
                <w:kern w:val="0"/>
                <w:sz w:val="21"/>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809" w:type="dxa"/>
            <w:shd w:val="clear" w:color="auto" w:fill="D9D9D9"/>
            <w:vAlign w:val="center"/>
          </w:tcPr>
          <w:p>
            <w:pPr>
              <w:jc w:val="center"/>
              <w:rPr>
                <w:rFonts w:hint="eastAsia" w:ascii="宋体" w:hAnsi="宋体" w:eastAsia="宋体" w:cs="宋体"/>
                <w:color w:val="333333"/>
                <w:kern w:val="0"/>
                <w:sz w:val="21"/>
                <w:szCs w:val="21"/>
              </w:rPr>
            </w:pPr>
            <w:r>
              <w:rPr>
                <w:rFonts w:hint="eastAsia" w:ascii="宋体" w:hAnsi="宋体" w:eastAsia="宋体" w:cs="宋体"/>
                <w:color w:val="333333"/>
                <w:kern w:val="0"/>
                <w:sz w:val="21"/>
                <w:szCs w:val="21"/>
              </w:rPr>
              <w:t>备注</w:t>
            </w:r>
          </w:p>
        </w:tc>
        <w:tc>
          <w:tcPr>
            <w:tcW w:w="6949" w:type="dxa"/>
            <w:gridSpan w:val="2"/>
            <w:vAlign w:val="top"/>
          </w:tcPr>
          <w:p>
            <w:pPr>
              <w:pStyle w:val="3"/>
              <w:adjustRightInd w:val="0"/>
              <w:snapToGrid w:val="0"/>
              <w:spacing w:after="0"/>
              <w:rPr>
                <w:rFonts w:ascii="宋体" w:hAnsi="宋体" w:cs="宋体"/>
                <w:b/>
                <w:color w:val="000000"/>
                <w:szCs w:val="21"/>
              </w:rPr>
            </w:pPr>
            <w:r>
              <w:rPr>
                <w:rFonts w:hint="eastAsia" w:ascii="宋体" w:hAnsi="宋体" w:cs="宋体"/>
                <w:b/>
                <w:color w:val="000000"/>
                <w:szCs w:val="21"/>
              </w:rPr>
              <w:t>混合集中：</w:t>
            </w:r>
          </w:p>
          <w:p>
            <w:pPr>
              <w:pStyle w:val="3"/>
              <w:adjustRightInd w:val="0"/>
              <w:snapToGrid w:val="0"/>
              <w:spacing w:after="0"/>
              <w:rPr>
                <w:rFonts w:ascii="宋体" w:hAnsi="宋体" w:cs="宋体"/>
                <w:bCs/>
                <w:color w:val="000000"/>
                <w:szCs w:val="21"/>
              </w:rPr>
            </w:pPr>
            <w:r>
              <w:rPr>
                <w:rFonts w:hint="eastAsia" w:ascii="宋体" w:hAnsi="宋体" w:cs="宋体"/>
                <w:bCs/>
                <w:color w:val="000000"/>
                <w:szCs w:val="21"/>
              </w:rPr>
              <w:t>2022年中国境内输配电工程施工市场:</w:t>
            </w:r>
          </w:p>
          <w:p>
            <w:pPr>
              <w:pStyle w:val="6"/>
              <w:ind w:firstLine="0" w:firstLineChars="0"/>
              <w:rPr>
                <w:rFonts w:hint="default" w:ascii="宋体" w:hAnsi="宋体" w:eastAsia="宋体" w:cs="宋体"/>
                <w:color w:val="333333"/>
                <w:kern w:val="0"/>
                <w:sz w:val="21"/>
                <w:szCs w:val="21"/>
                <w:lang w:val="en-US" w:eastAsia="zh-CN" w:bidi="ar-SA"/>
              </w:rPr>
            </w:pPr>
            <w:r>
              <w:rPr>
                <w:rFonts w:hint="eastAsia" w:cs="Times New Roman"/>
                <w:kern w:val="2"/>
                <w:sz w:val="21"/>
                <w:szCs w:val="24"/>
                <w:lang w:val="en-US" w:eastAsia="zh-CN" w:bidi="ar-SA"/>
              </w:rPr>
              <w:t>电力实业</w:t>
            </w:r>
            <w:r>
              <w:rPr>
                <w:rFonts w:hint="eastAsia" w:ascii="宋体" w:hAnsi="宋体" w:eastAsia="宋体" w:cs="宋体"/>
                <w:color w:val="333333"/>
                <w:kern w:val="0"/>
                <w:sz w:val="21"/>
                <w:szCs w:val="21"/>
              </w:rPr>
              <w:t>（含</w:t>
            </w:r>
            <w:r>
              <w:rPr>
                <w:rFonts w:hint="eastAsia" w:ascii="宋体" w:hAnsi="宋体" w:eastAsia="宋体" w:cs="宋体"/>
                <w:kern w:val="0"/>
                <w:sz w:val="21"/>
                <w:szCs w:val="21"/>
              </w:rPr>
              <w:t>奥粤能源</w:t>
            </w:r>
            <w:r>
              <w:rPr>
                <w:rFonts w:hint="eastAsia" w:ascii="宋体" w:hAnsi="宋体" w:eastAsia="宋体" w:cs="宋体"/>
                <w:color w:val="333333"/>
                <w:kern w:val="0"/>
                <w:sz w:val="21"/>
                <w:szCs w:val="21"/>
              </w:rPr>
              <w:t>）</w:t>
            </w:r>
            <w:r>
              <w:rPr>
                <w:rFonts w:hint="eastAsia" w:ascii="宋体" w:hAnsi="宋体" w:cs="宋体"/>
                <w:bCs/>
                <w:color w:val="000000"/>
                <w:szCs w:val="21"/>
              </w:rPr>
              <w:t>：0-5%</w:t>
            </w:r>
          </w:p>
        </w:tc>
      </w:tr>
    </w:tbl>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panose1 w:val="02010601030101010101"/>
    <w:charset w:val="86"/>
    <w:family w:val="script"/>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E02617"/>
    <w:rsid w:val="10E026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2">
    <w:name w:val="Normal Indent"/>
    <w:next w:val="1"/>
    <w:qFormat/>
    <w:uiPriority w:val="99"/>
    <w:pPr>
      <w:widowControl w:val="0"/>
      <w:jc w:val="both"/>
    </w:pPr>
    <w:rPr>
      <w:rFonts w:ascii="Times New Roman" w:hAnsi="Times New Roman" w:eastAsia="宋体" w:cs="Times New Roman"/>
      <w:kern w:val="2"/>
      <w:sz w:val="21"/>
      <w:szCs w:val="24"/>
      <w:lang w:val="en-US" w:eastAsia="zh-CN" w:bidi="ar-SA"/>
    </w:rPr>
  </w:style>
  <w:style w:type="paragraph" w:styleId="3">
    <w:name w:val="Body Text"/>
    <w:unhideWhenUsed/>
    <w:qFormat/>
    <w:uiPriority w:val="99"/>
    <w:pPr>
      <w:widowControl w:val="0"/>
      <w:spacing w:after="120"/>
      <w:jc w:val="both"/>
    </w:pPr>
    <w:rPr>
      <w:rFonts w:ascii="Times New Roman" w:hAnsi="Times New Roman" w:eastAsia="宋体" w:cs="Times New Roman"/>
      <w:kern w:val="2"/>
      <w:sz w:val="21"/>
      <w:szCs w:val="24"/>
      <w:lang w:val="en-US" w:eastAsia="zh-CN" w:bidi="ar-SA"/>
    </w:rPr>
  </w:style>
  <w:style w:type="paragraph" w:styleId="6">
    <w:name w:val="List Paragraph"/>
    <w:qFormat/>
    <w:uiPriority w:val="99"/>
    <w:pPr>
      <w:widowControl w:val="0"/>
      <w:ind w:firstLine="420" w:firstLineChars="200"/>
      <w:jc w:val="both"/>
    </w:pPr>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Office_11.8.2.8696_F1E327BC-269C-435d-A152-05C5408002CA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2023-11-08T11:16:00Z</dcterms:created>
  <dc:creator>zhangzc</dc:creator>
  <cp:lastModifiedBy>zhangzc</cp:lastModifiedBy>
  <dcterms:modified xsi:type="dcterms:W3CDTF">2023-11-08T11:16:32Z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