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26"/>
        <w:jc w:val="center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经营者集中简易案件公示表</w:t>
      </w:r>
    </w:p>
    <w:p>
      <w:pPr>
        <w:ind w:left="426"/>
        <w:jc w:val="center"/>
        <w:rPr>
          <w:b/>
          <w:bCs/>
          <w:lang w:eastAsia="zh-CN"/>
        </w:rPr>
      </w:pPr>
    </w:p>
    <w:tbl>
      <w:tblPr>
        <w:tblStyle w:val="3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t>案件名称</w:t>
            </w:r>
          </w:p>
        </w:tc>
        <w:tc>
          <w:tcPr>
            <w:tcW w:w="6949" w:type="dxa"/>
            <w:gridSpan w:val="2"/>
          </w:tcPr>
          <w:p>
            <w:r>
              <w:rPr>
                <w:rFonts w:hint="eastAsia"/>
              </w:rPr>
              <w:t>Triton Managers V有限公司收购西门子能源全球股份两合公司</w:t>
            </w:r>
            <w:r>
              <w:rPr>
                <w:rFonts w:hint="eastAsia"/>
                <w:lang w:eastAsia="zh-CN"/>
              </w:rPr>
              <w:t>部分业务</w:t>
            </w:r>
            <w:r>
              <w:rPr>
                <w:rFonts w:hint="eastAsia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t>交易概况</w:t>
            </w:r>
          </w:p>
          <w:p>
            <w:pPr>
              <w:spacing w:before="120" w:after="120"/>
              <w:jc w:val="center"/>
            </w:pPr>
            <w:r>
              <w:t>（限200字内）</w:t>
            </w:r>
          </w:p>
        </w:tc>
        <w:tc>
          <w:tcPr>
            <w:tcW w:w="6949" w:type="dxa"/>
            <w:gridSpan w:val="2"/>
          </w:tcPr>
          <w:p>
            <w:r>
              <w:rPr>
                <w:rFonts w:hint="eastAsia"/>
              </w:rPr>
              <w:t xml:space="preserve">Saphira German Master Bidco </w:t>
            </w:r>
            <w:r>
              <w:rPr>
                <w:rFonts w:hint="eastAsia"/>
                <w:lang w:eastAsia="zh-CN"/>
              </w:rPr>
              <w:t>股份有限公司</w:t>
            </w:r>
            <w:r>
              <w:rPr>
                <w:rFonts w:hint="eastAsia"/>
              </w:rPr>
              <w:t xml:space="preserve">（由Triton Managers V </w:t>
            </w:r>
            <w:r>
              <w:rPr>
                <w:rFonts w:hint="eastAsia"/>
                <w:lang w:eastAsia="zh-CN"/>
              </w:rPr>
              <w:t>有限公司</w:t>
            </w:r>
            <w:r>
              <w:rPr>
                <w:rFonts w:hint="eastAsia"/>
              </w:rPr>
              <w:t>间接控制，“</w:t>
            </w:r>
            <w:r>
              <w:rPr>
                <w:rFonts w:hint="eastAsia"/>
                <w:b/>
                <w:bCs/>
              </w:rPr>
              <w:t>Triton Managers V</w:t>
            </w:r>
            <w:r>
              <w:rPr>
                <w:rFonts w:hint="eastAsia"/>
              </w:rPr>
              <w:t>”）和西门子能源全球股份两合公司（“</w:t>
            </w:r>
            <w:r>
              <w:rPr>
                <w:rFonts w:hint="eastAsia"/>
                <w:b/>
                <w:bCs/>
              </w:rPr>
              <w:t>西门子能源全球</w:t>
            </w:r>
            <w:r>
              <w:rPr>
                <w:rFonts w:hint="eastAsia"/>
              </w:rPr>
              <w:t xml:space="preserve">”）达成协议，根据协议，Saphira German Master Bidco </w:t>
            </w:r>
            <w:r>
              <w:rPr>
                <w:rFonts w:hint="eastAsia"/>
                <w:lang w:eastAsia="zh-CN"/>
              </w:rPr>
              <w:t>股份有限公司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  <w:lang w:eastAsia="zh-CN"/>
              </w:rPr>
              <w:t>收购</w:t>
            </w:r>
            <w:r>
              <w:rPr>
                <w:rFonts w:hint="eastAsia"/>
              </w:rPr>
              <w:t>西门子能源全球的</w:t>
            </w:r>
            <w:r>
              <w:rPr>
                <w:rFonts w:hint="eastAsia"/>
                <w:lang w:eastAsia="zh-CN"/>
              </w:rPr>
              <w:t>高压电气产品业务</w:t>
            </w:r>
            <w:r>
              <w:rPr>
                <w:rFonts w:hint="eastAsia"/>
              </w:rPr>
              <w:t>（“</w:t>
            </w:r>
            <w:r>
              <w:rPr>
                <w:rFonts w:hint="eastAsia"/>
                <w:b/>
                <w:bCs/>
              </w:rPr>
              <w:t>目标</w:t>
            </w:r>
            <w:r>
              <w:rPr>
                <w:rFonts w:hint="eastAsia"/>
                <w:b/>
                <w:bCs/>
                <w:lang w:eastAsia="zh-CN"/>
              </w:rPr>
              <w:t>业务</w:t>
            </w:r>
            <w:r>
              <w:rPr>
                <w:rFonts w:hint="eastAsia"/>
              </w:rPr>
              <w:t>”）。</w:t>
            </w:r>
            <w:r>
              <w:rPr>
                <w:rFonts w:hint="eastAsia"/>
                <w:lang w:eastAsia="zh-CN"/>
              </w:rPr>
              <w:t>交易前，目标业务由西门子能源全球1</w:t>
            </w:r>
            <w:r>
              <w:rPr>
                <w:lang w:eastAsia="zh-CN"/>
              </w:rPr>
              <w:t>00</w:t>
            </w:r>
            <w:r>
              <w:rPr>
                <w:rFonts w:hint="eastAsia"/>
                <w:lang w:eastAsia="zh-CN"/>
              </w:rPr>
              <w:t>%所有并单独控制。</w:t>
            </w:r>
            <w:r>
              <w:rPr>
                <w:rFonts w:hint="eastAsia"/>
              </w:rPr>
              <w:t>交易后，目标</w:t>
            </w:r>
            <w:r>
              <w:rPr>
                <w:rFonts w:hint="eastAsia"/>
                <w:lang w:eastAsia="zh-CN"/>
              </w:rPr>
              <w:t>业务</w:t>
            </w:r>
            <w:r>
              <w:rPr>
                <w:rFonts w:hint="eastAsia"/>
              </w:rPr>
              <w:t>将由Triton Managers V间接</w:t>
            </w:r>
            <w:r>
              <w:rPr>
                <w:rFonts w:hint="eastAsia"/>
                <w:lang w:eastAsia="zh-CN"/>
              </w:rPr>
              <w:t>1</w:t>
            </w:r>
            <w:r>
              <w:rPr>
                <w:lang w:eastAsia="zh-CN"/>
              </w:rPr>
              <w:t>00</w:t>
            </w:r>
            <w:r>
              <w:rPr>
                <w:rFonts w:hint="eastAsia"/>
                <w:lang w:eastAsia="zh-CN"/>
              </w:rPr>
              <w:t>%</w:t>
            </w:r>
            <w:r>
              <w:rPr>
                <w:rFonts w:hint="eastAsia"/>
              </w:rPr>
              <w:t>所有并</w:t>
            </w:r>
            <w:r>
              <w:rPr>
                <w:rFonts w:hint="eastAsia"/>
                <w:lang w:eastAsia="zh-CN"/>
              </w:rPr>
              <w:t>单独</w:t>
            </w:r>
            <w:r>
              <w:rPr>
                <w:rFonts w:hint="eastAsia"/>
              </w:rPr>
              <w:t>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参与集中的</w:t>
            </w:r>
          </w:p>
          <w:p>
            <w:pPr>
              <w:spacing w:before="120" w:after="12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经营者简介</w:t>
            </w:r>
          </w:p>
        </w:tc>
        <w:tc>
          <w:tcPr>
            <w:tcW w:w="1796" w:type="dxa"/>
          </w:tcPr>
          <w:p>
            <w:r>
              <w:t>1</w:t>
            </w:r>
            <w:r>
              <w:rPr>
                <w:rFonts w:hint="eastAsia"/>
              </w:rPr>
              <w:t>.</w:t>
            </w:r>
            <w:r>
              <w:t>Triton Managers V</w:t>
            </w:r>
          </w:p>
        </w:tc>
        <w:tc>
          <w:tcPr>
            <w:tcW w:w="5153" w:type="dxa"/>
          </w:tcPr>
          <w:p>
            <w:pPr>
              <w:rPr>
                <w:lang w:eastAsia="zh-CN"/>
              </w:rPr>
            </w:pPr>
            <w:r>
              <w:rPr>
                <w:lang w:eastAsia="zh-CN"/>
              </w:rPr>
              <w:t>Triton Managers V于2017年</w:t>
            </w:r>
            <w:r>
              <w:rPr>
                <w:rFonts w:hint="eastAsia"/>
                <w:lang w:eastAsia="zh-CN"/>
              </w:rPr>
              <w:t>9</w:t>
            </w:r>
            <w:r>
              <w:rPr>
                <w:lang w:eastAsia="zh-CN"/>
              </w:rPr>
              <w:t>月13日在</w:t>
            </w:r>
            <w:r>
              <w:rPr>
                <w:rFonts w:hint="eastAsia"/>
                <w:lang w:eastAsia="zh-CN"/>
              </w:rPr>
              <w:t>英属海峡群岛泽西岛</w:t>
            </w:r>
            <w:r>
              <w:rPr>
                <w:lang w:eastAsia="zh-CN"/>
              </w:rPr>
              <w:t>成立</w:t>
            </w:r>
            <w:r>
              <w:rPr>
                <w:rFonts w:hint="eastAsia"/>
                <w:lang w:eastAsia="zh-CN"/>
              </w:rPr>
              <w:t>，主要业务为管理私募股权基金，其管理的私募股权基金投资领域包含商业服务、工业技术、消费和医疗保健等行业</w:t>
            </w:r>
            <w:r>
              <w:rPr>
                <w:lang w:eastAsia="zh-CN"/>
              </w:rPr>
              <w:t>。</w:t>
            </w:r>
          </w:p>
          <w:p>
            <w:r>
              <w:t>Triton Managers V</w:t>
            </w:r>
            <w:r>
              <w:rPr>
                <w:rFonts w:hint="eastAsia"/>
              </w:rPr>
              <w:t>无最终控制人</w:t>
            </w:r>
            <w: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</w:p>
        </w:tc>
        <w:tc>
          <w:tcPr>
            <w:tcW w:w="1796" w:type="dxa"/>
          </w:tcPr>
          <w:p>
            <w:r>
              <w:t xml:space="preserve">2. </w:t>
            </w:r>
            <w:r>
              <w:rPr>
                <w:rFonts w:hint="eastAsia"/>
              </w:rPr>
              <w:t>目标</w:t>
            </w:r>
            <w:r>
              <w:rPr>
                <w:rFonts w:hint="eastAsia"/>
                <w:lang w:eastAsia="zh-CN"/>
              </w:rPr>
              <w:t>业务</w:t>
            </w:r>
          </w:p>
        </w:tc>
        <w:tc>
          <w:tcPr>
            <w:tcW w:w="5153" w:type="dxa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目标业务包括一些实体和资产，主要业务为设计和制造高压电气产品，主要包括高压套管、互感器和线圈。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目标业务的最终控制人为西门子能源股份有限公司，主要业务为能源技术和服务价值链相关业务，提供与之相关的各类产品、解决方案和服务。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  <w:r>
              <w:rPr>
                <w:lang w:eastAsia="zh-CN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A8"/>
            </w:r>
            <w:r>
              <w:rPr>
                <w:lang w:eastAsia="zh-CN"/>
              </w:rPr>
              <w:t xml:space="preserve"> 1.</w:t>
            </w:r>
            <w:r>
              <w:rPr>
                <w:rFonts w:hint="eastAsia"/>
                <w:lang w:eastAsia="zh-CN"/>
              </w:rPr>
              <w:t>在同一相关市场</w:t>
            </w:r>
            <w:r>
              <w:rPr>
                <w:lang w:eastAsia="zh-CN"/>
              </w:rPr>
              <w:t>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A8"/>
            </w:r>
            <w:r>
              <w:rPr>
                <w:lang w:eastAsia="zh-CN"/>
              </w:rPr>
              <w:t xml:space="preserve"> 2.</w:t>
            </w:r>
            <w:r>
              <w:rPr>
                <w:rFonts w:hint="eastAsia"/>
                <w:lang w:eastAsia="zh-CN"/>
              </w:rPr>
              <w:t>存在上下游关系的参与集中的经营者</w:t>
            </w:r>
            <w:r>
              <w:rPr>
                <w:lang w:eastAsia="zh-CN"/>
              </w:rPr>
              <w:t>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FE"/>
            </w:r>
            <w:r>
              <w:rPr>
                <w:lang w:eastAsia="zh-CN"/>
              </w:rPr>
              <w:t xml:space="preserve"> 3.不在同一相关市场、</w:t>
            </w:r>
            <w:r>
              <w:rPr>
                <w:rFonts w:hint="eastAsia"/>
                <w:lang w:eastAsia="zh-CN"/>
              </w:rPr>
              <w:t>也不存在上下游关系的参与集中的经营者</w:t>
            </w:r>
            <w:r>
              <w:rPr>
                <w:lang w:eastAsia="zh-CN"/>
              </w:rPr>
              <w:t>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2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A8"/>
            </w:r>
            <w:r>
              <w:rPr>
                <w:lang w:eastAsia="zh-CN"/>
              </w:rPr>
              <w:t xml:space="preserve"> 4.</w:t>
            </w:r>
            <w:r>
              <w:rPr>
                <w:rFonts w:hint="eastAsia"/>
                <w:lang w:eastAsia="zh-CN"/>
              </w:rPr>
              <w:t>参与集中的经营者在中国境外设立合营企业</w:t>
            </w:r>
            <w:r>
              <w:rPr>
                <w:lang w:eastAsia="zh-CN"/>
              </w:rPr>
              <w:t>，</w:t>
            </w:r>
            <w:r>
              <w:rPr>
                <w:rFonts w:hint="eastAsia"/>
                <w:lang w:eastAsia="zh-CN"/>
              </w:rPr>
              <w:t>合营企业不在中国境内从事经济活动</w:t>
            </w:r>
            <w:r>
              <w:rPr>
                <w:lang w:eastAsia="zh-CN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A8"/>
            </w:r>
            <w:r>
              <w:rPr>
                <w:lang w:eastAsia="zh-CN"/>
              </w:rPr>
              <w:t xml:space="preserve"> 5.</w:t>
            </w:r>
            <w:r>
              <w:rPr>
                <w:rFonts w:hint="eastAsia"/>
                <w:lang w:eastAsia="zh-CN"/>
              </w:rPr>
              <w:t>参与集中的经营者收购境外企业股权或资产的</w:t>
            </w:r>
            <w:r>
              <w:rPr>
                <w:lang w:eastAsia="zh-CN"/>
              </w:rPr>
              <w:t>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before="120" w:after="120"/>
              <w:jc w:val="center"/>
              <w:rPr>
                <w:lang w:eastAsia="zh-CN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/>
              <w:sym w:font="Wingdings" w:char="F0A8"/>
            </w:r>
            <w:r>
              <w:rPr>
                <w:lang w:eastAsia="zh-CN"/>
              </w:rPr>
              <w:t xml:space="preserve"> 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before="120" w:after="120"/>
              <w:jc w:val="center"/>
            </w:pPr>
            <w: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混合集中：</w:t>
            </w:r>
          </w:p>
          <w:p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2</w:t>
            </w:r>
            <w:r>
              <w:rPr>
                <w:lang w:eastAsia="zh-CN"/>
              </w:rPr>
              <w:t>022</w:t>
            </w:r>
            <w:r>
              <w:rPr>
                <w:rFonts w:hint="eastAsia"/>
                <w:lang w:eastAsia="zh-CN"/>
              </w:rPr>
              <w:t>年中国境内高压套管市场：</w:t>
            </w:r>
          </w:p>
          <w:p>
            <w:r>
              <w:rPr>
                <w:rFonts w:hint="eastAsia"/>
              </w:rPr>
              <w:t>目标</w:t>
            </w:r>
            <w:r>
              <w:rPr>
                <w:rFonts w:hint="eastAsia"/>
                <w:lang w:eastAsia="zh-CN"/>
              </w:rPr>
              <w:t>业务</w:t>
            </w:r>
            <w:r>
              <w:rPr>
                <w:rFonts w:hint="eastAsia"/>
              </w:rPr>
              <w:t>：0</w:t>
            </w:r>
            <w:r>
              <w:t>-5%</w:t>
            </w:r>
          </w:p>
        </w:tc>
      </w:tr>
    </w:tbl>
    <w:p>
      <w:pPr>
        <w:rPr>
          <w:lang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true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E0A"/>
    <w:rsid w:val="00213051"/>
    <w:rsid w:val="0028609C"/>
    <w:rsid w:val="002B1513"/>
    <w:rsid w:val="003C23BA"/>
    <w:rsid w:val="0049640E"/>
    <w:rsid w:val="00504E6C"/>
    <w:rsid w:val="00523E0A"/>
    <w:rsid w:val="005C1CC6"/>
    <w:rsid w:val="007443DE"/>
    <w:rsid w:val="009D40BE"/>
    <w:rsid w:val="00A53B96"/>
    <w:rsid w:val="00A63026"/>
    <w:rsid w:val="00AE7A9D"/>
    <w:rsid w:val="00B259B2"/>
    <w:rsid w:val="00C53436"/>
    <w:rsid w:val="00C751F9"/>
    <w:rsid w:val="00DE2F93"/>
    <w:rsid w:val="7FBF6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宋体" w:cs="Times New Roman"/>
      <w:kern w:val="0"/>
      <w:sz w:val="24"/>
      <w:szCs w:val="24"/>
      <w:lang w:val="en-GB" w:eastAsia="en-US" w:bidi="ar-SA"/>
      <w14:ligatures w14:val="non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5"/>
    <w:qFormat/>
    <w:uiPriority w:val="0"/>
    <w:pPr>
      <w:spacing w:after="240"/>
      <w:jc w:val="both"/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customStyle="1" w:styleId="5">
    <w:name w:val="Body Text Char"/>
    <w:link w:val="2"/>
    <w:qFormat/>
    <w:uiPriority w:val="0"/>
    <w:rPr>
      <w:sz w:val="24"/>
      <w:szCs w:val="24"/>
      <w:lang w:val="en-GB" w:eastAsia="en-US"/>
    </w:rPr>
  </w:style>
  <w:style w:type="character" w:customStyle="1" w:styleId="6">
    <w:name w:val="Body Text Char1"/>
    <w:basedOn w:val="4"/>
    <w:semiHidden/>
    <w:qFormat/>
    <w:uiPriority w:val="99"/>
    <w:rPr>
      <w:rFonts w:ascii="Times New Roman" w:hAnsi="Times New Roman" w:eastAsia="宋体" w:cs="Times New Roman"/>
      <w:kern w:val="0"/>
      <w:sz w:val="24"/>
      <w:szCs w:val="24"/>
      <w:lang w:val="en-GB" w:eastAsia="en-US"/>
      <w14:ligatures w14:val="none"/>
    </w:rPr>
  </w:style>
  <w:style w:type="paragraph" w:customStyle="1" w:styleId="7">
    <w:name w:val="Revision"/>
    <w:hidden/>
    <w:semiHidden/>
    <w:qFormat/>
    <w:uiPriority w:val="99"/>
    <w:pPr>
      <w:spacing w:after="0" w:line="240" w:lineRule="auto"/>
    </w:pPr>
    <w:rPr>
      <w:rFonts w:ascii="Times New Roman" w:hAnsi="Times New Roman" w:eastAsia="宋体" w:cs="Times New Roman"/>
      <w:kern w:val="0"/>
      <w:sz w:val="24"/>
      <w:szCs w:val="24"/>
      <w:lang w:val="en-GB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795</Characters>
  <Lines>6</Lines>
  <Paragraphs>1</Paragraphs>
  <TotalTime>93</TotalTime>
  <ScaleCrop>false</ScaleCrop>
  <LinksUpToDate>false</LinksUpToDate>
  <CharactersWithSpaces>933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2023-11-09T13:06:00Z</dcterms:created>
  <dc:creator>DaHui Lawyers</dc:creator>
  <cp:lastModifiedBy>oa</cp:lastModifiedBy>
  <cp:lastPrinted>2023-12-06T14:32:02Z</cp:lastPrinted>
  <dcterms:modified xsi:type="dcterms:W3CDTF">2023-12-06T14:32:15Z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