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SimHei" w:cs="SimHei"/>
          <w:bCs/>
          <w:sz w:val="36"/>
          <w:szCs w:val="36"/>
        </w:rPr>
      </w:pPr>
      <w:r>
        <w:rPr>
          <w:rFonts w:hint="eastAsia" w:eastAsia="SimHei" w:cs="SimHei"/>
          <w:bCs/>
          <w:sz w:val="36"/>
          <w:szCs w:val="36"/>
        </w:rPr>
        <w:t>经营者集中</w:t>
      </w:r>
      <w:bookmarkStart w:id="1" w:name="_GoBack"/>
      <w:r>
        <w:rPr>
          <w:rFonts w:hint="eastAsia" w:eastAsia="SimHei" w:cs="SimHei"/>
          <w:bCs/>
          <w:sz w:val="36"/>
          <w:szCs w:val="36"/>
        </w:rPr>
        <w:t>简易案件公示表</w:t>
      </w:r>
      <w:bookmarkEnd w:id="1"/>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5"/>
              <w:adjustRightInd w:val="0"/>
              <w:snapToGrid w:val="0"/>
              <w:spacing w:after="0"/>
              <w:rPr>
                <w:rFonts w:cs="宋体"/>
                <w:bCs/>
                <w:color w:val="000000"/>
                <w:lang w:val="en-US"/>
              </w:rPr>
            </w:pPr>
            <w:r>
              <w:rPr>
                <w:rFonts w:hint="eastAsia" w:cs="宋体"/>
                <w:bCs/>
                <w:color w:val="000000"/>
              </w:rPr>
              <w:t>案件名称</w:t>
            </w:r>
          </w:p>
        </w:tc>
        <w:tc>
          <w:tcPr>
            <w:tcW w:w="7700" w:type="dxa"/>
            <w:gridSpan w:val="2"/>
            <w:vAlign w:val="center"/>
          </w:tcPr>
          <w:p>
            <w:pPr>
              <w:adjustRightInd w:val="0"/>
              <w:snapToGrid w:val="0"/>
              <w:spacing w:after="0"/>
              <w:rPr>
                <w:rFonts w:cs="宋体"/>
                <w:bCs/>
                <w:color w:val="000000"/>
                <w:lang w:val="en-US"/>
              </w:rPr>
            </w:pPr>
            <w:bookmarkStart w:id="0" w:name="_Hlk108000716"/>
            <w:r>
              <w:rPr>
                <w:rFonts w:hint="eastAsia"/>
                <w:szCs w:val="21"/>
              </w:rPr>
              <w:t>Paine Schwartz Food Chain Fund VI GP, L.P.与不列颠哥伦比亚投资管理公司等经营者收购科思达集团控股有限公司股权案</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eastAsia="zh-CN"/>
              </w:rPr>
              <w:t>交易概况（限200字内）</w:t>
            </w:r>
          </w:p>
        </w:tc>
        <w:tc>
          <w:tcPr>
            <w:tcW w:w="7700" w:type="dxa"/>
            <w:gridSpan w:val="2"/>
            <w:vAlign w:val="center"/>
          </w:tcPr>
          <w:p>
            <w:pPr>
              <w:widowControl w:val="0"/>
              <w:adjustRightInd w:val="0"/>
              <w:snapToGrid w:val="0"/>
              <w:spacing w:after="0"/>
              <w:rPr>
                <w:rFonts w:cs="宋体"/>
                <w:lang w:val="en-US"/>
              </w:rPr>
            </w:pPr>
            <w:r>
              <w:rPr>
                <w:rFonts w:hint="eastAsia"/>
                <w:szCs w:val="21"/>
                <w:lang w:val="en-US"/>
              </w:rPr>
              <w:t>科思达集团控股有限公司（“</w:t>
            </w:r>
            <w:r>
              <w:rPr>
                <w:b/>
                <w:bCs/>
                <w:szCs w:val="21"/>
                <w:lang w:val="en-US"/>
              </w:rPr>
              <w:t>科思达</w:t>
            </w:r>
            <w:r>
              <w:rPr>
                <w:rFonts w:hint="eastAsia"/>
                <w:szCs w:val="21"/>
                <w:lang w:val="en-US"/>
              </w:rPr>
              <w:t>”）等签订《计划实施协议》。根据该协议，</w:t>
            </w:r>
            <w:r>
              <w:rPr>
                <w:szCs w:val="21"/>
                <w:lang w:val="en-US"/>
              </w:rPr>
              <w:t>Paine Schwartz Food Chain Fund VI GP, L.P.</w:t>
            </w:r>
            <w:r>
              <w:rPr>
                <w:rFonts w:hint="eastAsia"/>
                <w:szCs w:val="21"/>
                <w:lang w:val="en-US"/>
              </w:rPr>
              <w:t>（“</w:t>
            </w:r>
            <w:r>
              <w:rPr>
                <w:b/>
                <w:bCs/>
                <w:szCs w:val="21"/>
                <w:lang w:val="en-US"/>
              </w:rPr>
              <w:t>PSP Fund VI GP</w:t>
            </w:r>
            <w:r>
              <w:rPr>
                <w:rFonts w:hint="eastAsia"/>
                <w:szCs w:val="21"/>
                <w:lang w:val="en-US"/>
              </w:rPr>
              <w:t>”）、不列颠哥伦比亚投资管理公司（“</w:t>
            </w:r>
            <w:r>
              <w:rPr>
                <w:b/>
                <w:bCs/>
                <w:szCs w:val="21"/>
                <w:lang w:val="en-US"/>
              </w:rPr>
              <w:t>BCI</w:t>
            </w:r>
            <w:r>
              <w:rPr>
                <w:rFonts w:hint="eastAsia"/>
                <w:szCs w:val="21"/>
                <w:lang w:val="en-US"/>
              </w:rPr>
              <w:t>”）和怡颗莓公司（“</w:t>
            </w:r>
            <w:r>
              <w:rPr>
                <w:rFonts w:hint="eastAsia"/>
                <w:b/>
                <w:bCs/>
                <w:szCs w:val="21"/>
                <w:lang w:val="en-US"/>
              </w:rPr>
              <w:t>怡颗莓</w:t>
            </w:r>
            <w:r>
              <w:rPr>
                <w:rFonts w:hint="eastAsia"/>
                <w:szCs w:val="21"/>
                <w:lang w:val="en-US"/>
              </w:rPr>
              <w:t>”）将共同收购</w:t>
            </w:r>
            <w:r>
              <w:rPr>
                <w:szCs w:val="21"/>
                <w:lang w:val="en-US"/>
              </w:rPr>
              <w:t>科思达</w:t>
            </w:r>
            <w:r>
              <w:rPr>
                <w:rFonts w:hint="eastAsia"/>
                <w:szCs w:val="21"/>
                <w:lang w:val="en-US"/>
              </w:rPr>
              <w:t>发行在外股份的约</w:t>
            </w:r>
            <w:r>
              <w:rPr>
                <w:szCs w:val="21"/>
                <w:lang w:val="en-US"/>
              </w:rPr>
              <w:t>80.38%</w:t>
            </w:r>
            <w:r>
              <w:rPr>
                <w:rFonts w:hint="eastAsia"/>
                <w:szCs w:val="21"/>
                <w:lang w:val="en-US"/>
              </w:rPr>
              <w:t>。科思达主要从事新鲜水果和蔬菜的供应。交易前，</w:t>
            </w:r>
            <w:r>
              <w:rPr>
                <w:szCs w:val="21"/>
                <w:lang w:val="en-US"/>
              </w:rPr>
              <w:t>科思达</w:t>
            </w:r>
            <w:r>
              <w:rPr>
                <w:rFonts w:hint="eastAsia"/>
                <w:szCs w:val="21"/>
                <w:lang w:val="en-US"/>
              </w:rPr>
              <w:t>的股权分散，不受任何股东控制。交易后，</w:t>
            </w:r>
            <w:r>
              <w:rPr>
                <w:szCs w:val="21"/>
                <w:lang w:val="en-US"/>
              </w:rPr>
              <w:t>PSP Fund VI GP</w:t>
            </w:r>
            <w:r>
              <w:rPr>
                <w:rFonts w:hint="eastAsia"/>
                <w:szCs w:val="21"/>
                <w:lang w:val="en-US"/>
              </w:rPr>
              <w:t>、B</w:t>
            </w:r>
            <w:r>
              <w:rPr>
                <w:szCs w:val="21"/>
                <w:lang w:val="en-US"/>
              </w:rPr>
              <w:t>CI</w:t>
            </w:r>
            <w:r>
              <w:rPr>
                <w:rFonts w:hint="eastAsia"/>
                <w:szCs w:val="21"/>
                <w:lang w:val="en-US"/>
              </w:rPr>
              <w:t>和怡颗莓将分别间接持有科思达3</w:t>
            </w:r>
            <w:r>
              <w:rPr>
                <w:szCs w:val="21"/>
                <w:lang w:val="en-US"/>
              </w:rPr>
              <w:t>2.7%</w:t>
            </w:r>
            <w:r>
              <w:rPr>
                <w:rFonts w:hint="eastAsia"/>
                <w:szCs w:val="21"/>
                <w:lang w:val="en-US"/>
              </w:rPr>
              <w:t>、3</w:t>
            </w:r>
            <w:r>
              <w:rPr>
                <w:szCs w:val="21"/>
                <w:lang w:val="en-US"/>
              </w:rPr>
              <w:t>2.3%</w:t>
            </w:r>
            <w:r>
              <w:rPr>
                <w:rFonts w:hint="eastAsia"/>
                <w:szCs w:val="21"/>
                <w:lang w:val="en-US"/>
              </w:rPr>
              <w:t>和3</w:t>
            </w:r>
            <w:r>
              <w:rPr>
                <w:szCs w:val="21"/>
                <w:lang w:val="en-US"/>
              </w:rPr>
              <w:t>5%</w:t>
            </w:r>
            <w:r>
              <w:rPr>
                <w:rFonts w:hint="eastAsia"/>
                <w:szCs w:val="21"/>
                <w:lang w:val="en-US"/>
              </w:rPr>
              <w:t>的股份，并共同控制科思达。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eastAsia="zh-CN"/>
              </w:rPr>
              <w:t>参与集中的经营者简介（每个限</w:t>
            </w:r>
            <w:r>
              <w:rPr>
                <w:rFonts w:hint="eastAsia" w:cs="宋体"/>
                <w:bCs/>
                <w:color w:val="000000"/>
                <w:lang w:val="en-US" w:eastAsia="zh-CN"/>
              </w:rPr>
              <w:t>100字以内</w:t>
            </w:r>
            <w:r>
              <w:rPr>
                <w:rFonts w:hint="eastAsia" w:cs="宋体"/>
                <w:bCs/>
                <w:color w:val="000000"/>
                <w:lang w:eastAsia="zh-CN"/>
              </w:rPr>
              <w:t>）</w:t>
            </w:r>
          </w:p>
        </w:tc>
        <w:tc>
          <w:tcPr>
            <w:tcW w:w="1607" w:type="dxa"/>
            <w:vAlign w:val="center"/>
          </w:tcPr>
          <w:p>
            <w:pPr>
              <w:pStyle w:val="5"/>
              <w:numPr>
                <w:ilvl w:val="0"/>
                <w:numId w:val="4"/>
              </w:numPr>
              <w:adjustRightInd w:val="0"/>
              <w:snapToGrid w:val="0"/>
              <w:spacing w:after="0"/>
              <w:rPr>
                <w:rFonts w:cs="宋体"/>
                <w:bCs/>
                <w:color w:val="000000"/>
                <w:lang w:eastAsia="zh-CN"/>
              </w:rPr>
            </w:pPr>
            <w:r>
              <w:rPr>
                <w:rFonts w:cs="宋体"/>
                <w:bCs/>
                <w:color w:val="000000"/>
                <w:lang w:val="en-US" w:eastAsia="zh-CN"/>
              </w:rPr>
              <w:t>PSP F</w:t>
            </w:r>
            <w:r>
              <w:rPr>
                <w:rFonts w:hint="eastAsia" w:cs="宋体"/>
                <w:bCs/>
                <w:color w:val="000000"/>
                <w:lang w:val="en-US" w:eastAsia="zh-CN"/>
              </w:rPr>
              <w:t>und</w:t>
            </w:r>
            <w:r>
              <w:rPr>
                <w:rFonts w:cs="宋体"/>
                <w:bCs/>
                <w:color w:val="000000"/>
                <w:lang w:val="en-US" w:eastAsia="zh-CN"/>
              </w:rPr>
              <w:t xml:space="preserve"> VI GP</w:t>
            </w:r>
          </w:p>
        </w:tc>
        <w:tc>
          <w:tcPr>
            <w:tcW w:w="6093" w:type="dxa"/>
            <w:vAlign w:val="center"/>
          </w:tcPr>
          <w:p>
            <w:pPr>
              <w:adjustRightInd w:val="0"/>
              <w:snapToGrid w:val="0"/>
              <w:spacing w:after="0"/>
              <w:rPr>
                <w:rFonts w:cs="宋体"/>
                <w:lang w:val="en-US"/>
              </w:rPr>
            </w:pPr>
            <w:r>
              <w:rPr>
                <w:rFonts w:cs="宋体"/>
                <w:lang w:val="en-US"/>
              </w:rPr>
              <w:t>PSP F</w:t>
            </w:r>
            <w:r>
              <w:rPr>
                <w:rFonts w:hint="eastAsia" w:cs="宋体"/>
                <w:lang w:val="en-US"/>
              </w:rPr>
              <w:t>und</w:t>
            </w:r>
            <w:r>
              <w:rPr>
                <w:rFonts w:cs="宋体"/>
                <w:lang w:val="en-US"/>
              </w:rPr>
              <w:t xml:space="preserve"> VI GP</w:t>
            </w:r>
            <w:r>
              <w:rPr>
                <w:rFonts w:hint="eastAsia" w:cs="宋体"/>
                <w:lang w:val="en-US"/>
              </w:rPr>
              <w:t>于2</w:t>
            </w:r>
            <w:r>
              <w:rPr>
                <w:rFonts w:cs="宋体"/>
                <w:lang w:val="en-US"/>
              </w:rPr>
              <w:t>022</w:t>
            </w:r>
            <w:r>
              <w:rPr>
                <w:rFonts w:hint="eastAsia" w:cs="宋体"/>
                <w:lang w:val="en-US"/>
              </w:rPr>
              <w:t>年2月1</w:t>
            </w:r>
            <w:r>
              <w:rPr>
                <w:rFonts w:cs="宋体"/>
                <w:lang w:val="en-US"/>
              </w:rPr>
              <w:t>4</w:t>
            </w:r>
            <w:r>
              <w:rPr>
                <w:rFonts w:hint="eastAsia" w:cs="宋体"/>
                <w:lang w:val="en-US"/>
              </w:rPr>
              <w:t>日成立于开曼群岛，是参与本交易并构成P</w:t>
            </w:r>
            <w:r>
              <w:rPr>
                <w:rFonts w:cs="宋体"/>
                <w:lang w:val="en-US"/>
              </w:rPr>
              <w:t>SP</w:t>
            </w:r>
            <w:r>
              <w:rPr>
                <w:rFonts w:hint="eastAsia" w:cs="宋体"/>
                <w:lang w:val="en-US"/>
              </w:rPr>
              <w:t>集团组成部分的基金的共同普通合伙人。</w:t>
            </w:r>
          </w:p>
          <w:p>
            <w:pPr>
              <w:adjustRightInd w:val="0"/>
              <w:snapToGrid w:val="0"/>
              <w:spacing w:after="0"/>
              <w:rPr>
                <w:rFonts w:cs="宋体"/>
                <w:bCs/>
                <w:color w:val="000000"/>
                <w:lang w:val="en-US"/>
              </w:rPr>
            </w:pPr>
            <w:r>
              <w:rPr>
                <w:rFonts w:hint="eastAsia" w:cs="宋体"/>
                <w:bCs/>
                <w:color w:val="000000"/>
                <w:lang w:val="en-US"/>
              </w:rPr>
              <w:t>P</w:t>
            </w:r>
            <w:r>
              <w:rPr>
                <w:rFonts w:cs="宋体"/>
                <w:bCs/>
                <w:color w:val="000000"/>
                <w:lang w:val="en-US"/>
              </w:rPr>
              <w:t>SP F</w:t>
            </w:r>
            <w:r>
              <w:rPr>
                <w:rFonts w:hint="eastAsia" w:cs="宋体"/>
                <w:bCs/>
                <w:color w:val="000000"/>
                <w:lang w:val="en-US"/>
              </w:rPr>
              <w:t>und</w:t>
            </w:r>
            <w:r>
              <w:rPr>
                <w:rFonts w:cs="宋体"/>
                <w:bCs/>
                <w:color w:val="000000"/>
                <w:lang w:val="en-US"/>
              </w:rPr>
              <w:t xml:space="preserve"> VI GP</w:t>
            </w:r>
            <w:r>
              <w:rPr>
                <w:rFonts w:hint="eastAsia" w:cs="宋体"/>
                <w:bCs/>
                <w:color w:val="000000"/>
                <w:lang w:val="en-US"/>
              </w:rPr>
              <w:t>的最终控制人是Paine</w:t>
            </w:r>
            <w:r>
              <w:rPr>
                <w:rFonts w:cs="宋体"/>
                <w:bCs/>
                <w:color w:val="000000"/>
                <w:lang w:val="en-US"/>
              </w:rPr>
              <w:t xml:space="preserve"> Schwartz Partners, LLC</w:t>
            </w:r>
            <w:r>
              <w:rPr>
                <w:rFonts w:hint="eastAsia" w:cs="宋体"/>
                <w:bCs/>
                <w:color w:val="000000"/>
                <w:lang w:val="en-US"/>
              </w:rPr>
              <w:t>，为一家专注于管理层收购和成长资本投资的私募股权公司，重点关注食品和农业。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1607" w:type="dxa"/>
            <w:vAlign w:val="center"/>
          </w:tcPr>
          <w:p>
            <w:pPr>
              <w:pStyle w:val="5"/>
              <w:numPr>
                <w:ilvl w:val="0"/>
                <w:numId w:val="4"/>
              </w:numPr>
              <w:adjustRightInd w:val="0"/>
              <w:snapToGrid w:val="0"/>
              <w:spacing w:after="0"/>
              <w:rPr>
                <w:rFonts w:cs="宋体"/>
                <w:bCs/>
                <w:color w:val="000000"/>
                <w:lang w:eastAsia="zh-CN"/>
              </w:rPr>
            </w:pPr>
            <w:r>
              <w:rPr>
                <w:rFonts w:cs="宋体"/>
                <w:bCs/>
                <w:color w:val="000000"/>
                <w:lang w:eastAsia="zh-CN"/>
              </w:rPr>
              <w:t>BCI</w:t>
            </w:r>
          </w:p>
        </w:tc>
        <w:tc>
          <w:tcPr>
            <w:tcW w:w="6093" w:type="dxa"/>
            <w:vAlign w:val="center"/>
          </w:tcPr>
          <w:p>
            <w:pPr>
              <w:adjustRightInd w:val="0"/>
              <w:snapToGrid w:val="0"/>
              <w:spacing w:after="0"/>
              <w:rPr>
                <w:rFonts w:cs="宋体"/>
                <w:bCs/>
                <w:color w:val="000000"/>
                <w:lang w:val="en-US"/>
              </w:rPr>
            </w:pPr>
            <w:r>
              <w:rPr>
                <w:rFonts w:cs="宋体"/>
                <w:bCs/>
                <w:color w:val="000000"/>
                <w:lang w:val="en-US"/>
              </w:rPr>
              <w:t>BCI</w:t>
            </w:r>
            <w:r>
              <w:rPr>
                <w:rFonts w:hint="eastAsia" w:cs="宋体"/>
                <w:bCs/>
                <w:color w:val="000000"/>
                <w:lang w:val="en-US"/>
              </w:rPr>
              <w:t>于</w:t>
            </w:r>
            <w:r>
              <w:rPr>
                <w:rFonts w:cs="宋体"/>
                <w:bCs/>
                <w:color w:val="000000"/>
                <w:lang w:val="en-US"/>
              </w:rPr>
              <w:t>1999</w:t>
            </w:r>
            <w:r>
              <w:rPr>
                <w:rFonts w:hint="eastAsia" w:cs="宋体"/>
                <w:bCs/>
                <w:color w:val="000000"/>
                <w:lang w:val="en-US"/>
              </w:rPr>
              <w:t>年7月1</w:t>
            </w:r>
            <w:r>
              <w:rPr>
                <w:rFonts w:cs="宋体"/>
                <w:bCs/>
                <w:color w:val="000000"/>
                <w:lang w:val="en-US"/>
              </w:rPr>
              <w:t>5</w:t>
            </w:r>
            <w:r>
              <w:rPr>
                <w:rFonts w:hint="eastAsia" w:cs="宋体"/>
                <w:bCs/>
                <w:color w:val="000000"/>
                <w:lang w:val="en-US"/>
              </w:rPr>
              <w:t>日成立于加拿大，主要业务为长期投资，投资的资产类别包括固定收益、公共股票、私募股权、基础设施、可再生资源、房地产及商业抵押贷款等。</w:t>
            </w:r>
          </w:p>
          <w:p>
            <w:pPr>
              <w:adjustRightInd w:val="0"/>
              <w:snapToGrid w:val="0"/>
              <w:spacing w:after="0"/>
              <w:rPr>
                <w:rFonts w:cs="宋体"/>
                <w:bCs/>
                <w:color w:val="000000"/>
              </w:rPr>
            </w:pPr>
            <w:r>
              <w:rPr>
                <w:rFonts w:hint="eastAsia" w:cs="宋体"/>
                <w:bCs/>
                <w:color w:val="000000"/>
                <w:lang w:val="en-US"/>
              </w:rPr>
              <w:t>B</w:t>
            </w:r>
            <w:r>
              <w:rPr>
                <w:rFonts w:cs="宋体"/>
                <w:bCs/>
                <w:color w:val="000000"/>
                <w:lang w:val="en-US"/>
              </w:rPr>
              <w:t>CI</w:t>
            </w:r>
            <w:r>
              <w:rPr>
                <w:rFonts w:hint="eastAsia" w:cs="宋体"/>
                <w:bCs/>
                <w:color w:val="000000"/>
                <w:lang w:val="en-US"/>
              </w:rPr>
              <w:t>没有最终控制人。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1607" w:type="dxa"/>
            <w:vAlign w:val="center"/>
          </w:tcPr>
          <w:p>
            <w:pPr>
              <w:pStyle w:val="5"/>
              <w:numPr>
                <w:ilvl w:val="0"/>
                <w:numId w:val="4"/>
              </w:numPr>
              <w:adjustRightInd w:val="0"/>
              <w:snapToGrid w:val="0"/>
              <w:spacing w:after="0"/>
              <w:rPr>
                <w:rFonts w:cs="宋体"/>
                <w:bCs/>
                <w:color w:val="000000"/>
                <w:lang w:val="en-US" w:eastAsia="zh-CN"/>
              </w:rPr>
            </w:pPr>
            <w:r>
              <w:rPr>
                <w:rFonts w:hint="eastAsia"/>
                <w:szCs w:val="21"/>
                <w:lang w:val="en-US"/>
              </w:rPr>
              <w:t>怡颗莓</w:t>
            </w:r>
          </w:p>
        </w:tc>
        <w:tc>
          <w:tcPr>
            <w:tcW w:w="6093" w:type="dxa"/>
            <w:vAlign w:val="center"/>
          </w:tcPr>
          <w:p>
            <w:pPr>
              <w:adjustRightInd w:val="0"/>
              <w:snapToGrid w:val="0"/>
              <w:spacing w:after="0"/>
              <w:rPr>
                <w:szCs w:val="21"/>
              </w:rPr>
            </w:pPr>
            <w:r>
              <w:rPr>
                <w:rFonts w:hint="eastAsia"/>
                <w:szCs w:val="21"/>
                <w:lang w:val="en-US"/>
              </w:rPr>
              <w:t>怡颗莓</w:t>
            </w:r>
            <w:r>
              <w:rPr>
                <w:rFonts w:hint="eastAsia"/>
                <w:szCs w:val="21"/>
              </w:rPr>
              <w:t>于1</w:t>
            </w:r>
            <w:r>
              <w:rPr>
                <w:szCs w:val="21"/>
              </w:rPr>
              <w:t>953</w:t>
            </w:r>
            <w:r>
              <w:rPr>
                <w:rFonts w:hint="eastAsia"/>
                <w:szCs w:val="21"/>
              </w:rPr>
              <w:t>年2月2</w:t>
            </w:r>
            <w:r>
              <w:rPr>
                <w:szCs w:val="21"/>
              </w:rPr>
              <w:t>0</w:t>
            </w:r>
            <w:r>
              <w:rPr>
                <w:rFonts w:hint="eastAsia"/>
                <w:szCs w:val="21"/>
              </w:rPr>
              <w:t>日成立于美国。</w:t>
            </w:r>
            <w:r>
              <w:rPr>
                <w:rFonts w:hint="eastAsia"/>
                <w:szCs w:val="21"/>
                <w:lang w:val="en-US"/>
              </w:rPr>
              <w:t>怡颗莓</w:t>
            </w:r>
            <w:r>
              <w:rPr>
                <w:rFonts w:hint="eastAsia"/>
                <w:szCs w:val="21"/>
              </w:rPr>
              <w:t>主要从事新鲜水果的供应。</w:t>
            </w:r>
          </w:p>
          <w:p>
            <w:pPr>
              <w:adjustRightInd w:val="0"/>
              <w:snapToGrid w:val="0"/>
              <w:spacing w:after="0"/>
              <w:rPr>
                <w:rFonts w:cs="宋体"/>
                <w:bCs/>
                <w:color w:val="000000"/>
                <w:lang w:val="en-US"/>
              </w:rPr>
            </w:pPr>
            <w:r>
              <w:rPr>
                <w:rFonts w:hint="eastAsia"/>
                <w:szCs w:val="21"/>
                <w:lang w:val="en-US"/>
              </w:rPr>
              <w:t>怡颗莓</w:t>
            </w:r>
            <w:r>
              <w:rPr>
                <w:rFonts w:hint="eastAsia"/>
                <w:szCs w:val="21"/>
              </w:rPr>
              <w:t>没有最终控制人。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1607" w:type="dxa"/>
            <w:vAlign w:val="center"/>
          </w:tcPr>
          <w:p>
            <w:pPr>
              <w:pStyle w:val="5"/>
              <w:numPr>
                <w:ilvl w:val="0"/>
                <w:numId w:val="4"/>
              </w:numPr>
              <w:adjustRightInd w:val="0"/>
              <w:snapToGrid w:val="0"/>
              <w:spacing w:after="0"/>
              <w:rPr>
                <w:szCs w:val="21"/>
                <w:lang w:eastAsia="zh-CN"/>
              </w:rPr>
            </w:pPr>
            <w:r>
              <w:rPr>
                <w:rFonts w:hint="eastAsia"/>
                <w:szCs w:val="21"/>
                <w:lang w:eastAsia="zh-CN"/>
              </w:rPr>
              <w:t>科思达</w:t>
            </w:r>
          </w:p>
        </w:tc>
        <w:tc>
          <w:tcPr>
            <w:tcW w:w="6093" w:type="dxa"/>
            <w:vAlign w:val="center"/>
          </w:tcPr>
          <w:p>
            <w:pPr>
              <w:adjustRightInd w:val="0"/>
              <w:snapToGrid w:val="0"/>
              <w:spacing w:after="0"/>
              <w:rPr>
                <w:szCs w:val="21"/>
              </w:rPr>
            </w:pPr>
            <w:r>
              <w:rPr>
                <w:rFonts w:hint="eastAsia"/>
                <w:szCs w:val="21"/>
              </w:rPr>
              <w:t>科思达于2</w:t>
            </w:r>
            <w:r>
              <w:rPr>
                <w:szCs w:val="21"/>
              </w:rPr>
              <w:t>011</w:t>
            </w:r>
            <w:r>
              <w:rPr>
                <w:rFonts w:hint="eastAsia"/>
                <w:szCs w:val="21"/>
              </w:rPr>
              <w:t>年6月8日成立于澳大利亚，并在澳大利亚证券交易所上市。科思达主要从事新鲜水果和蔬菜的供应。</w:t>
            </w:r>
          </w:p>
          <w:p>
            <w:pPr>
              <w:adjustRightInd w:val="0"/>
              <w:snapToGrid w:val="0"/>
              <w:spacing w:after="0"/>
              <w:rPr>
                <w:szCs w:val="21"/>
              </w:rPr>
            </w:pPr>
            <w:r>
              <w:rPr>
                <w:rFonts w:hint="eastAsia"/>
                <w:szCs w:val="21"/>
              </w:rPr>
              <w:t>科思达没有最终控制人。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eastAsia="zh-CN"/>
              </w:rPr>
              <w:t>简易案件理由（可以单选，也可以多选）</w:t>
            </w: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FE"/>
            </w:r>
            <w:r>
              <w:rPr>
                <w:rFonts w:hint="eastAsia"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FE"/>
            </w:r>
            <w:r>
              <w:rPr>
                <w:rFonts w:hint="eastAsia" w:cs="宋体"/>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0" w:hRule="atLeast"/>
        </w:trPr>
        <w:tc>
          <w:tcPr>
            <w:tcW w:w="1940" w:type="dxa"/>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val="en-US" w:eastAsia="zh-CN"/>
              </w:rPr>
              <w:t>备注</w:t>
            </w:r>
          </w:p>
        </w:tc>
        <w:tc>
          <w:tcPr>
            <w:tcW w:w="7700" w:type="dxa"/>
            <w:gridSpan w:val="2"/>
            <w:vAlign w:val="center"/>
          </w:tcPr>
          <w:p>
            <w:pPr>
              <w:pStyle w:val="5"/>
              <w:adjustRightInd w:val="0"/>
              <w:snapToGrid w:val="0"/>
              <w:spacing w:after="0"/>
              <w:rPr>
                <w:rFonts w:cs="宋体"/>
                <w:b/>
                <w:color w:val="000000"/>
                <w:lang w:eastAsia="zh-CN"/>
              </w:rPr>
            </w:pPr>
            <w:r>
              <w:rPr>
                <w:rFonts w:hint="eastAsia" w:cs="宋体"/>
                <w:b/>
                <w:color w:val="000000"/>
                <w:lang w:eastAsia="zh-CN"/>
              </w:rPr>
              <w:t>横向重叠：</w:t>
            </w:r>
          </w:p>
          <w:p>
            <w:pPr>
              <w:pStyle w:val="5"/>
              <w:adjustRightInd w:val="0"/>
              <w:snapToGrid w:val="0"/>
              <w:spacing w:after="0"/>
              <w:rPr>
                <w:rFonts w:cs="Times New Roman"/>
                <w:bCs/>
                <w:color w:val="000000"/>
                <w:lang w:eastAsia="zh-CN"/>
              </w:rPr>
            </w:pPr>
            <w:r>
              <w:rPr>
                <w:rFonts w:cs="Times New Roman"/>
                <w:bCs/>
                <w:color w:val="000000"/>
                <w:lang w:eastAsia="zh-CN"/>
              </w:rPr>
              <w:t>2022年中国境内莓果种植市场：</w:t>
            </w:r>
          </w:p>
          <w:p>
            <w:pPr>
              <w:pStyle w:val="5"/>
              <w:adjustRightInd w:val="0"/>
              <w:snapToGrid w:val="0"/>
              <w:spacing w:after="0"/>
              <w:rPr>
                <w:rFonts w:cs="Times New Roman"/>
                <w:bCs/>
                <w:color w:val="000000"/>
                <w:lang w:val="en-US" w:eastAsia="zh-CN"/>
              </w:rPr>
            </w:pPr>
            <w:r>
              <w:rPr>
                <w:rFonts w:cs="Times New Roman"/>
                <w:szCs w:val="21"/>
                <w:lang w:val="en-US" w:eastAsia="zh-CN"/>
              </w:rPr>
              <w:t>怡颗莓</w:t>
            </w:r>
            <w:r>
              <w:rPr>
                <w:rFonts w:cs="Times New Roman"/>
                <w:bCs/>
                <w:color w:val="000000"/>
                <w:lang w:eastAsia="zh-CN"/>
              </w:rPr>
              <w:t>：</w:t>
            </w:r>
            <w:r>
              <w:rPr>
                <w:rFonts w:cs="Times New Roman"/>
                <w:bCs/>
                <w:color w:val="000000"/>
                <w:lang w:val="en-US" w:eastAsia="zh-CN"/>
              </w:rPr>
              <w:t>0-5%；科思达：0-5%；合计：0-5%</w:t>
            </w:r>
          </w:p>
          <w:p>
            <w:pPr>
              <w:pStyle w:val="5"/>
              <w:adjustRightInd w:val="0"/>
              <w:snapToGrid w:val="0"/>
              <w:spacing w:after="0"/>
              <w:rPr>
                <w:rFonts w:cs="Times New Roman"/>
                <w:bCs/>
                <w:color w:val="000000"/>
                <w:lang w:val="en-US" w:eastAsia="zh-CN"/>
              </w:rPr>
            </w:pPr>
          </w:p>
          <w:p>
            <w:pPr>
              <w:pStyle w:val="5"/>
              <w:adjustRightInd w:val="0"/>
              <w:snapToGrid w:val="0"/>
              <w:spacing w:after="0"/>
              <w:rPr>
                <w:rFonts w:cs="Times New Roman"/>
                <w:b/>
                <w:color w:val="000000"/>
                <w:lang w:val="en-US" w:eastAsia="zh-CN"/>
              </w:rPr>
            </w:pPr>
            <w:r>
              <w:rPr>
                <w:rFonts w:cs="Times New Roman"/>
                <w:b/>
                <w:color w:val="000000"/>
                <w:lang w:val="en-US" w:eastAsia="zh-CN"/>
              </w:rPr>
              <w:t>纵向关联：</w:t>
            </w:r>
          </w:p>
          <w:tbl>
            <w:tblPr>
              <w:tblStyle w:val="79"/>
              <w:tblW w:w="74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28"/>
              <w:gridCol w:w="1843"/>
              <w:gridCol w:w="34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28" w:type="dxa"/>
                </w:tcPr>
                <w:p>
                  <w:pPr>
                    <w:pStyle w:val="5"/>
                    <w:adjustRightInd w:val="0"/>
                    <w:snapToGrid w:val="0"/>
                    <w:spacing w:after="0"/>
                    <w:rPr>
                      <w:rFonts w:cs="Times New Roman"/>
                      <w:color w:val="000000"/>
                      <w:sz w:val="28"/>
                      <w:szCs w:val="28"/>
                      <w:lang w:eastAsia="zh-CN"/>
                    </w:rPr>
                  </w:pPr>
                  <w:r>
                    <w:rPr>
                      <w:rFonts w:cs="Times New Roman"/>
                      <w:color w:val="000000"/>
                      <w:lang w:val="en-US"/>
                    </w:rPr>
                    <w:t>相关商品市场</w:t>
                  </w:r>
                </w:p>
              </w:tc>
              <w:tc>
                <w:tcPr>
                  <w:tcW w:w="1843" w:type="dxa"/>
                </w:tcPr>
                <w:p>
                  <w:pPr>
                    <w:pStyle w:val="5"/>
                    <w:adjustRightInd w:val="0"/>
                    <w:snapToGrid w:val="0"/>
                    <w:spacing w:after="0"/>
                    <w:rPr>
                      <w:rFonts w:cs="Times New Roman"/>
                      <w:color w:val="000000"/>
                      <w:sz w:val="28"/>
                      <w:szCs w:val="28"/>
                      <w:lang w:eastAsia="zh-CN"/>
                    </w:rPr>
                  </w:pPr>
                  <w:r>
                    <w:rPr>
                      <w:rFonts w:cs="Times New Roman"/>
                      <w:color w:val="000000"/>
                      <w:lang w:val="en-US"/>
                    </w:rPr>
                    <w:t>相关地域市场</w:t>
                  </w:r>
                </w:p>
              </w:tc>
              <w:tc>
                <w:tcPr>
                  <w:tcW w:w="3403" w:type="dxa"/>
                </w:tcPr>
                <w:p>
                  <w:pPr>
                    <w:pStyle w:val="5"/>
                    <w:adjustRightInd w:val="0"/>
                    <w:snapToGrid w:val="0"/>
                    <w:spacing w:after="0"/>
                    <w:rPr>
                      <w:rFonts w:cs="Times New Roman"/>
                      <w:color w:val="000000"/>
                      <w:sz w:val="28"/>
                      <w:szCs w:val="28"/>
                      <w:lang w:eastAsia="zh-CN"/>
                    </w:rPr>
                  </w:pPr>
                  <w:r>
                    <w:rPr>
                      <w:rFonts w:cs="Times New Roman"/>
                      <w:color w:val="000000"/>
                      <w:lang w:val="en-US"/>
                    </w:rPr>
                    <w:t>2022年市场份额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28" w:type="dxa"/>
                </w:tcPr>
                <w:p>
                  <w:pPr>
                    <w:pStyle w:val="5"/>
                    <w:spacing w:after="0"/>
                    <w:rPr>
                      <w:rFonts w:cs="Times New Roman"/>
                      <w:color w:val="000000"/>
                      <w:lang w:val="en-US" w:eastAsia="zh-CN"/>
                    </w:rPr>
                  </w:pPr>
                  <w:r>
                    <w:rPr>
                      <w:rFonts w:cs="Times New Roman"/>
                      <w:color w:val="000000"/>
                      <w:lang w:val="en-US" w:eastAsia="zh-CN"/>
                    </w:rPr>
                    <w:t>上游：</w:t>
                  </w:r>
                  <w:r>
                    <w:rPr>
                      <w:rFonts w:cs="Times New Roman"/>
                      <w:color w:val="000000"/>
                      <w:lang w:eastAsia="zh-CN"/>
                    </w:rPr>
                    <w:t>莓果种植市场</w:t>
                  </w:r>
                </w:p>
                <w:p>
                  <w:pPr>
                    <w:pStyle w:val="5"/>
                    <w:adjustRightInd w:val="0"/>
                    <w:snapToGrid w:val="0"/>
                    <w:spacing w:after="0"/>
                    <w:rPr>
                      <w:rFonts w:cs="Times New Roman"/>
                      <w:color w:val="000000"/>
                      <w:sz w:val="28"/>
                      <w:szCs w:val="28"/>
                      <w:lang w:eastAsia="zh-CN"/>
                    </w:rPr>
                  </w:pPr>
                  <w:r>
                    <w:rPr>
                      <w:rFonts w:cs="Times New Roman"/>
                      <w:color w:val="000000"/>
                      <w:lang w:val="en-US" w:eastAsia="zh-CN"/>
                    </w:rPr>
                    <w:t>下游：莓果批发</w:t>
                  </w:r>
                  <w:r>
                    <w:rPr>
                      <w:rFonts w:hint="eastAsia" w:cs="Times New Roman"/>
                      <w:color w:val="000000"/>
                      <w:lang w:val="en-US" w:eastAsia="zh-CN"/>
                    </w:rPr>
                    <w:t>供应</w:t>
                  </w:r>
                  <w:r>
                    <w:rPr>
                      <w:rFonts w:cs="Times New Roman"/>
                      <w:color w:val="000000"/>
                      <w:lang w:val="en-US" w:eastAsia="zh-CN"/>
                    </w:rPr>
                    <w:t>市场</w:t>
                  </w:r>
                </w:p>
              </w:tc>
              <w:tc>
                <w:tcPr>
                  <w:tcW w:w="1843" w:type="dxa"/>
                </w:tcPr>
                <w:p>
                  <w:pPr>
                    <w:pStyle w:val="5"/>
                    <w:spacing w:after="0"/>
                    <w:rPr>
                      <w:rFonts w:cs="Times New Roman"/>
                      <w:color w:val="000000"/>
                      <w:lang w:val="en-US" w:eastAsia="zh-CN"/>
                    </w:rPr>
                  </w:pPr>
                  <w:r>
                    <w:rPr>
                      <w:rFonts w:cs="Times New Roman"/>
                      <w:color w:val="000000"/>
                      <w:lang w:val="en-US" w:eastAsia="zh-CN"/>
                    </w:rPr>
                    <w:t>上游：中国境内</w:t>
                  </w:r>
                </w:p>
                <w:p>
                  <w:pPr>
                    <w:pStyle w:val="5"/>
                    <w:adjustRightInd w:val="0"/>
                    <w:snapToGrid w:val="0"/>
                    <w:spacing w:after="0"/>
                    <w:rPr>
                      <w:rFonts w:cs="Times New Roman"/>
                      <w:color w:val="000000"/>
                      <w:sz w:val="28"/>
                      <w:szCs w:val="28"/>
                      <w:lang w:eastAsia="zh-CN"/>
                    </w:rPr>
                  </w:pPr>
                  <w:r>
                    <w:rPr>
                      <w:rFonts w:cs="Times New Roman"/>
                      <w:color w:val="000000"/>
                      <w:lang w:val="en-US" w:eastAsia="zh-CN"/>
                    </w:rPr>
                    <w:t>下游：中国境内</w:t>
                  </w:r>
                </w:p>
              </w:tc>
              <w:tc>
                <w:tcPr>
                  <w:tcW w:w="3403" w:type="dxa"/>
                </w:tcPr>
                <w:p>
                  <w:pPr>
                    <w:pStyle w:val="5"/>
                    <w:spacing w:after="0"/>
                    <w:rPr>
                      <w:rFonts w:cs="Times New Roman"/>
                      <w:color w:val="000000"/>
                      <w:lang w:val="en-US" w:eastAsia="zh-CN"/>
                    </w:rPr>
                  </w:pPr>
                  <w:r>
                    <w:rPr>
                      <w:rFonts w:cs="Times New Roman"/>
                      <w:color w:val="000000"/>
                      <w:lang w:val="en-US" w:eastAsia="zh-CN"/>
                    </w:rPr>
                    <w:t>上游：中国境内莓果种植市场</w:t>
                  </w:r>
                </w:p>
                <w:p>
                  <w:pPr>
                    <w:pStyle w:val="5"/>
                    <w:spacing w:after="0"/>
                    <w:rPr>
                      <w:rFonts w:cs="Times New Roman"/>
                      <w:color w:val="000000"/>
                      <w:lang w:val="en-US" w:eastAsia="zh-CN"/>
                    </w:rPr>
                  </w:pPr>
                  <w:r>
                    <w:rPr>
                      <w:rFonts w:cs="Times New Roman"/>
                      <w:color w:val="000000"/>
                      <w:lang w:val="en-US" w:eastAsia="zh-CN"/>
                    </w:rPr>
                    <w:t>科</w:t>
                  </w:r>
                  <w:r>
                    <w:rPr>
                      <w:rFonts w:cs="Times New Roman"/>
                      <w:bCs/>
                      <w:color w:val="000000"/>
                      <w:lang w:val="en-US" w:eastAsia="zh-CN"/>
                    </w:rPr>
                    <w:t>思</w:t>
                  </w:r>
                  <w:r>
                    <w:rPr>
                      <w:rFonts w:cs="Times New Roman"/>
                      <w:color w:val="000000"/>
                      <w:lang w:val="en-US" w:eastAsia="zh-CN"/>
                    </w:rPr>
                    <w:t>达：0-5%</w:t>
                  </w:r>
                </w:p>
                <w:p>
                  <w:pPr>
                    <w:pStyle w:val="5"/>
                    <w:spacing w:after="0"/>
                    <w:rPr>
                      <w:rFonts w:cs="Times New Roman"/>
                      <w:color w:val="000000"/>
                      <w:lang w:val="en-US" w:eastAsia="zh-CN"/>
                    </w:rPr>
                  </w:pPr>
                  <w:r>
                    <w:rPr>
                      <w:rFonts w:cs="Times New Roman"/>
                      <w:color w:val="000000"/>
                      <w:lang w:val="en-US" w:eastAsia="zh-CN"/>
                    </w:rPr>
                    <w:t>下游：中国境内莓果批发</w:t>
                  </w:r>
                  <w:r>
                    <w:rPr>
                      <w:rFonts w:hint="eastAsia" w:cs="Times New Roman"/>
                      <w:color w:val="000000"/>
                      <w:lang w:val="en-US" w:eastAsia="zh-CN"/>
                    </w:rPr>
                    <w:t>供应</w:t>
                  </w:r>
                  <w:r>
                    <w:rPr>
                      <w:rFonts w:cs="Times New Roman"/>
                      <w:color w:val="000000"/>
                      <w:lang w:val="en-US" w:eastAsia="zh-CN"/>
                    </w:rPr>
                    <w:t>市场</w:t>
                  </w:r>
                </w:p>
                <w:p>
                  <w:pPr>
                    <w:pStyle w:val="5"/>
                    <w:adjustRightInd w:val="0"/>
                    <w:snapToGrid w:val="0"/>
                    <w:spacing w:after="0"/>
                    <w:rPr>
                      <w:rFonts w:cs="Times New Roman"/>
                      <w:color w:val="000000"/>
                      <w:sz w:val="28"/>
                      <w:szCs w:val="28"/>
                      <w:lang w:eastAsia="zh-CN"/>
                    </w:rPr>
                  </w:pPr>
                  <w:r>
                    <w:rPr>
                      <w:rFonts w:cs="Times New Roman"/>
                      <w:color w:val="000000"/>
                      <w:lang w:val="en-US"/>
                    </w:rPr>
                    <w:t>怡颗莓：0-5%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28" w:type="dxa"/>
                </w:tcPr>
                <w:p>
                  <w:pPr>
                    <w:pStyle w:val="5"/>
                    <w:spacing w:after="0"/>
                    <w:rPr>
                      <w:rFonts w:cs="Times New Roman"/>
                      <w:color w:val="000000"/>
                      <w:lang w:val="en-US" w:eastAsia="zh-CN"/>
                    </w:rPr>
                  </w:pPr>
                  <w:r>
                    <w:rPr>
                      <w:rFonts w:cs="Times New Roman"/>
                      <w:color w:val="000000"/>
                      <w:lang w:val="en-US" w:eastAsia="zh-CN"/>
                    </w:rPr>
                    <w:t>上游：</w:t>
                  </w:r>
                  <w:r>
                    <w:rPr>
                      <w:rFonts w:cs="Times New Roman"/>
                      <w:color w:val="000000"/>
                      <w:lang w:eastAsia="zh-CN"/>
                    </w:rPr>
                    <w:t>果蔬保鲜剂市场</w:t>
                  </w:r>
                </w:p>
                <w:p>
                  <w:pPr>
                    <w:pStyle w:val="5"/>
                    <w:adjustRightInd w:val="0"/>
                    <w:snapToGrid w:val="0"/>
                    <w:spacing w:after="0"/>
                    <w:rPr>
                      <w:rFonts w:cs="Times New Roman"/>
                      <w:color w:val="000000"/>
                      <w:sz w:val="28"/>
                      <w:szCs w:val="28"/>
                      <w:lang w:eastAsia="zh-CN"/>
                    </w:rPr>
                  </w:pPr>
                  <w:r>
                    <w:rPr>
                      <w:rFonts w:cs="Times New Roman"/>
                      <w:color w:val="000000"/>
                      <w:lang w:val="en-US" w:eastAsia="zh-CN"/>
                    </w:rPr>
                    <w:t>下游：莓果种植市场、柑橘批发</w:t>
                  </w:r>
                  <w:r>
                    <w:rPr>
                      <w:rFonts w:hint="eastAsia" w:cs="Times New Roman"/>
                      <w:color w:val="000000"/>
                      <w:lang w:val="en-US" w:eastAsia="zh-CN"/>
                    </w:rPr>
                    <w:t>供应</w:t>
                  </w:r>
                  <w:r>
                    <w:rPr>
                      <w:rFonts w:cs="Times New Roman"/>
                      <w:color w:val="000000"/>
                      <w:lang w:val="en-US" w:eastAsia="zh-CN"/>
                    </w:rPr>
                    <w:t>市场</w:t>
                  </w:r>
                  <w:r>
                    <w:rPr>
                      <w:rFonts w:hint="eastAsia" w:cs="Times New Roman"/>
                      <w:color w:val="000000"/>
                      <w:lang w:val="en-US" w:eastAsia="zh-CN"/>
                    </w:rPr>
                    <w:t>、莓果批发供应市场</w:t>
                  </w:r>
                </w:p>
              </w:tc>
              <w:tc>
                <w:tcPr>
                  <w:tcW w:w="1843" w:type="dxa"/>
                </w:tcPr>
                <w:p>
                  <w:pPr>
                    <w:pStyle w:val="5"/>
                    <w:spacing w:after="0"/>
                    <w:rPr>
                      <w:rFonts w:cs="Times New Roman"/>
                      <w:color w:val="000000"/>
                      <w:lang w:val="en-US" w:eastAsia="zh-CN"/>
                    </w:rPr>
                  </w:pPr>
                  <w:r>
                    <w:rPr>
                      <w:rFonts w:cs="Times New Roman"/>
                      <w:color w:val="000000"/>
                      <w:lang w:val="en-US" w:eastAsia="zh-CN"/>
                    </w:rPr>
                    <w:t>上游：中国境内</w:t>
                  </w:r>
                </w:p>
                <w:p>
                  <w:pPr>
                    <w:pStyle w:val="5"/>
                    <w:adjustRightInd w:val="0"/>
                    <w:snapToGrid w:val="0"/>
                    <w:spacing w:after="0"/>
                    <w:rPr>
                      <w:rFonts w:cs="Times New Roman"/>
                      <w:color w:val="000000"/>
                      <w:sz w:val="28"/>
                      <w:szCs w:val="28"/>
                      <w:lang w:eastAsia="zh-CN"/>
                    </w:rPr>
                  </w:pPr>
                  <w:r>
                    <w:rPr>
                      <w:rFonts w:cs="Times New Roman"/>
                      <w:color w:val="000000"/>
                      <w:lang w:val="en-US" w:eastAsia="zh-CN"/>
                    </w:rPr>
                    <w:t>下游：中国境内</w:t>
                  </w:r>
                </w:p>
              </w:tc>
              <w:tc>
                <w:tcPr>
                  <w:tcW w:w="3403" w:type="dxa"/>
                </w:tcPr>
                <w:p>
                  <w:pPr>
                    <w:pStyle w:val="5"/>
                    <w:spacing w:after="0"/>
                    <w:rPr>
                      <w:rFonts w:cs="Times New Roman"/>
                      <w:color w:val="000000"/>
                      <w:lang w:val="en-US" w:eastAsia="zh-CN"/>
                    </w:rPr>
                  </w:pPr>
                  <w:r>
                    <w:rPr>
                      <w:rFonts w:cs="Times New Roman"/>
                      <w:color w:val="000000"/>
                      <w:lang w:val="en-US" w:eastAsia="zh-CN"/>
                    </w:rPr>
                    <w:t>上游：中国境内</w:t>
                  </w:r>
                  <w:r>
                    <w:rPr>
                      <w:rFonts w:cs="Times New Roman"/>
                      <w:color w:val="000000"/>
                      <w:lang w:eastAsia="zh-CN"/>
                    </w:rPr>
                    <w:t>果蔬保鲜剂市场</w:t>
                  </w:r>
                </w:p>
                <w:p>
                  <w:pPr>
                    <w:pStyle w:val="5"/>
                    <w:spacing w:after="0"/>
                    <w:rPr>
                      <w:rFonts w:cs="Times New Roman"/>
                      <w:color w:val="000000"/>
                      <w:lang w:val="en-US"/>
                    </w:rPr>
                  </w:pPr>
                  <w:r>
                    <w:rPr>
                      <w:rFonts w:cs="Times New Roman"/>
                      <w:color w:val="000000"/>
                      <w:lang w:val="en-US"/>
                    </w:rPr>
                    <w:t>PSP Fund VI GP ：0-5%</w:t>
                  </w:r>
                </w:p>
                <w:p>
                  <w:pPr>
                    <w:pStyle w:val="5"/>
                    <w:spacing w:after="0"/>
                    <w:rPr>
                      <w:rFonts w:cs="Times New Roman"/>
                      <w:color w:val="000000"/>
                      <w:lang w:val="en-US" w:eastAsia="zh-CN"/>
                    </w:rPr>
                  </w:pPr>
                  <w:r>
                    <w:rPr>
                      <w:rFonts w:cs="Times New Roman"/>
                      <w:color w:val="000000"/>
                      <w:lang w:val="en-US" w:eastAsia="zh-CN"/>
                    </w:rPr>
                    <w:t>下游：中国境内莓果种植市场</w:t>
                  </w:r>
                </w:p>
                <w:p>
                  <w:pPr>
                    <w:pStyle w:val="5"/>
                    <w:spacing w:after="0"/>
                    <w:rPr>
                      <w:rFonts w:cs="Times New Roman"/>
                      <w:color w:val="000000"/>
                      <w:lang w:val="en-US" w:eastAsia="zh-CN"/>
                    </w:rPr>
                  </w:pPr>
                  <w:r>
                    <w:rPr>
                      <w:rFonts w:cs="Times New Roman"/>
                      <w:color w:val="000000"/>
                      <w:lang w:val="en-US" w:eastAsia="zh-CN"/>
                    </w:rPr>
                    <w:t>科</w:t>
                  </w:r>
                  <w:r>
                    <w:rPr>
                      <w:rFonts w:hint="eastAsia" w:cs="Times New Roman"/>
                      <w:color w:val="000000"/>
                      <w:lang w:val="en-US" w:eastAsia="zh-CN"/>
                    </w:rPr>
                    <w:t>思</w:t>
                  </w:r>
                  <w:r>
                    <w:rPr>
                      <w:rFonts w:cs="Times New Roman"/>
                      <w:color w:val="000000"/>
                      <w:lang w:val="en-US" w:eastAsia="zh-CN"/>
                    </w:rPr>
                    <w:t>达：0-5%</w:t>
                  </w:r>
                </w:p>
                <w:p>
                  <w:pPr>
                    <w:pStyle w:val="5"/>
                    <w:spacing w:after="0"/>
                    <w:rPr>
                      <w:rFonts w:cs="Times New Roman"/>
                      <w:color w:val="000000"/>
                      <w:lang w:val="en-US" w:eastAsia="zh-CN"/>
                    </w:rPr>
                  </w:pPr>
                  <w:r>
                    <w:rPr>
                      <w:rFonts w:cs="Times New Roman"/>
                      <w:color w:val="000000"/>
                      <w:lang w:val="en-US" w:eastAsia="zh-CN"/>
                    </w:rPr>
                    <w:t>中国境内柑橘批发</w:t>
                  </w:r>
                  <w:r>
                    <w:rPr>
                      <w:rFonts w:hint="eastAsia" w:cs="Times New Roman"/>
                      <w:color w:val="000000"/>
                      <w:lang w:val="en-US" w:eastAsia="zh-CN"/>
                    </w:rPr>
                    <w:t>供应</w:t>
                  </w:r>
                  <w:r>
                    <w:rPr>
                      <w:rFonts w:cs="Times New Roman"/>
                      <w:color w:val="000000"/>
                      <w:lang w:val="en-US" w:eastAsia="zh-CN"/>
                    </w:rPr>
                    <w:t>市场</w:t>
                  </w:r>
                </w:p>
                <w:p>
                  <w:pPr>
                    <w:pStyle w:val="5"/>
                    <w:adjustRightInd w:val="0"/>
                    <w:snapToGrid w:val="0"/>
                    <w:spacing w:after="0"/>
                    <w:rPr>
                      <w:rFonts w:cs="Times New Roman"/>
                      <w:color w:val="000000"/>
                      <w:lang w:val="en-US" w:eastAsia="zh-CN"/>
                    </w:rPr>
                  </w:pPr>
                  <w:r>
                    <w:rPr>
                      <w:rFonts w:cs="Times New Roman"/>
                      <w:color w:val="000000"/>
                      <w:lang w:val="en-US" w:eastAsia="zh-CN"/>
                    </w:rPr>
                    <w:t>科</w:t>
                  </w:r>
                  <w:r>
                    <w:rPr>
                      <w:rFonts w:hint="eastAsia" w:cs="Times New Roman"/>
                      <w:color w:val="000000"/>
                      <w:lang w:val="en-US" w:eastAsia="zh-CN"/>
                    </w:rPr>
                    <w:t>思</w:t>
                  </w:r>
                  <w:r>
                    <w:rPr>
                      <w:rFonts w:cs="Times New Roman"/>
                      <w:color w:val="000000"/>
                      <w:lang w:val="en-US" w:eastAsia="zh-CN"/>
                    </w:rPr>
                    <w:t>达：0-5%</w:t>
                  </w:r>
                </w:p>
                <w:p>
                  <w:pPr>
                    <w:pStyle w:val="5"/>
                    <w:adjustRightInd w:val="0"/>
                    <w:snapToGrid w:val="0"/>
                    <w:spacing w:after="0"/>
                    <w:rPr>
                      <w:rFonts w:cs="Times New Roman"/>
                      <w:color w:val="000000"/>
                      <w:lang w:val="en-US" w:eastAsia="zh-CN"/>
                    </w:rPr>
                  </w:pPr>
                  <w:r>
                    <w:rPr>
                      <w:rFonts w:hint="eastAsia" w:cs="Times New Roman"/>
                      <w:color w:val="000000"/>
                      <w:lang w:val="en-US" w:eastAsia="zh-CN"/>
                    </w:rPr>
                    <w:t>中国境内莓果批发供应市场</w:t>
                  </w:r>
                </w:p>
                <w:p>
                  <w:pPr>
                    <w:pStyle w:val="5"/>
                    <w:adjustRightInd w:val="0"/>
                    <w:snapToGrid w:val="0"/>
                    <w:spacing w:after="0"/>
                    <w:rPr>
                      <w:rFonts w:cs="Times New Roman"/>
                      <w:color w:val="000000"/>
                      <w:sz w:val="28"/>
                      <w:szCs w:val="28"/>
                      <w:lang w:eastAsia="zh-CN"/>
                    </w:rPr>
                  </w:pPr>
                  <w:r>
                    <w:rPr>
                      <w:rFonts w:hint="eastAsia" w:cs="Times New Roman"/>
                      <w:color w:val="000000"/>
                      <w:lang w:eastAsia="zh-CN"/>
                    </w:rPr>
                    <w:t>怡颗莓：</w:t>
                  </w:r>
                  <w:r>
                    <w:rPr>
                      <w:rFonts w:cs="Times New Roman"/>
                      <w:color w:val="000000"/>
                      <w:lang w:val="en-US"/>
                    </w:rPr>
                    <w:t>0-5%</w:t>
                  </w:r>
                </w:p>
              </w:tc>
            </w:tr>
          </w:tbl>
          <w:p>
            <w:pPr>
              <w:pStyle w:val="5"/>
              <w:adjustRightInd w:val="0"/>
              <w:snapToGrid w:val="0"/>
              <w:spacing w:after="0"/>
              <w:rPr>
                <w:rFonts w:cs="宋体"/>
                <w:bCs/>
                <w:color w:val="000000"/>
                <w:lang w:val="en-US" w:eastAsia="zh-CN"/>
              </w:rPr>
            </w:pPr>
          </w:p>
        </w:tc>
      </w:tr>
    </w:tbl>
    <w:p>
      <w:pPr>
        <w:pStyle w:val="5"/>
        <w:adjustRightInd w:val="0"/>
        <w:snapToGrid w:val="0"/>
        <w:spacing w:after="0"/>
        <w:rPr>
          <w:rFonts w:eastAsia="KaiTi_GB2312" w:cs="Arial"/>
          <w:b/>
          <w:color w:val="000000"/>
          <w:sz w:val="22"/>
          <w:szCs w:val="22"/>
          <w:lang w:eastAsia="zh-CN"/>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plified Arabic">
    <w:altName w:val="Times New Roman"/>
    <w:panose1 w:val="02020603050405020304"/>
    <w:charset w:val="00"/>
    <w:family w:val="roman"/>
    <w:pitch w:val="default"/>
    <w:sig w:usb0="00000000" w:usb1="00000000" w:usb2="00000008" w:usb3="00000000" w:csb0="00000041" w:csb1="00000000"/>
  </w:font>
  <w:font w:name="Courier New">
    <w:altName w:val="DejaVu Sans"/>
    <w:panose1 w:val="02070309020205020404"/>
    <w:charset w:val="00"/>
    <w:family w:val="modern"/>
    <w:pitch w:val="default"/>
    <w:sig w:usb0="00000000" w:usb1="00000000" w:usb2="00000009" w:usb3="00000000" w:csb0="000001FF" w:csb1="00000000"/>
  </w:font>
  <w:font w:name="Tahoma">
    <w:altName w:val="Droid Sans"/>
    <w:panose1 w:val="020B0604030504040204"/>
    <w:charset w:val="00"/>
    <w:family w:val="swiss"/>
    <w:pitch w:val="default"/>
    <w:sig w:usb0="00000000" w:usb1="00000000" w:usb2="00000029" w:usb3="00000000" w:csb0="000101FF" w:csb1="00000000"/>
  </w:font>
  <w:font w:name="FangSong_GB2312">
    <w:panose1 w:val="02010609030101010101"/>
    <w:charset w:val="86"/>
    <w:family w:val="modern"/>
    <w:pitch w:val="default"/>
    <w:sig w:usb0="00000001" w:usb1="080E0000" w:usb2="00000000" w:usb3="00000000" w:csb0="00040000" w:csb1="00000000"/>
  </w:font>
  <w:font w:name="SimHei">
    <w:panose1 w:val="02010609060101010101"/>
    <w:charset w:val="86"/>
    <w:family w:val="modern"/>
    <w:pitch w:val="default"/>
    <w:sig w:usb0="800002BF" w:usb1="38CF7CFA" w:usb2="00000016" w:usb3="00000000" w:csb0="00040001" w:csb1="00000000"/>
  </w:font>
  <w:font w:name="KaiTi_GB2312">
    <w:altName w:val="楷体"/>
    <w:panose1 w:val="02010609060101010101"/>
    <w:charset w:val="86"/>
    <w:family w:val="modern"/>
    <w:pitch w:val="default"/>
    <w:sig w:usb0="00000000" w:usb1="00000000" w:usb2="00000016" w:usb3="00000000" w:csb0="00040001" w:csb1="00000000"/>
  </w:font>
  <w:font w:name="Arial">
    <w:altName w:val="Times New Roman"/>
    <w:panose1 w:val="020B0604020202020204"/>
    <w:charset w:val="00"/>
    <w:family w:val="swiss"/>
    <w:pitch w:val="default"/>
    <w:sig w:usb0="00000000" w:usb1="00000000" w:usb2="00000009" w:usb3="00000000" w:csb0="000001F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Droid Sans">
    <w:panose1 w:val="020B0606030804020204"/>
    <w:charset w:val="00"/>
    <w:family w:val="auto"/>
    <w:pitch w:val="default"/>
    <w:sig w:usb0="E00002EF" w:usb1="4000205B" w:usb2="00000028"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2</w:t>
          </w:r>
          <w:r>
            <w:rPr>
              <w:rStyle w:val="204"/>
              <w:rFonts w:cs="Times New Roman"/>
            </w:rPr>
            <w:fldChar w:fldCharType="end"/>
          </w:r>
          <w:r>
            <w:rPr>
              <w:rStyle w:val="204"/>
              <w:rFonts w:cs="Times New Roman"/>
            </w:rPr>
            <w:t xml:space="preserve"> -</w:t>
          </w:r>
        </w:p>
      </w:tc>
      <w:tc>
        <w:tcPr>
          <w:tcW w:w="3081" w:type="dxa"/>
        </w:tcPr>
        <w:p>
          <w:pPr>
            <w:pStyle w:val="253"/>
          </w:pPr>
        </w:p>
      </w:tc>
    </w:tr>
  </w:tbl>
  <w:p>
    <w:pPr>
      <w:pStyle w:val="4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05EFC"/>
    <w:multiLevelType w:val="multilevel"/>
    <w:tmpl w:val="07805EF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2">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3">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doNotDisplayPageBoundaries w:val="true"/>
  <w:bordersDoNotSurroundHeader w:val="true"/>
  <w:bordersDoNotSurroundFooter w:val="tru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styleLockQFSet/>
  <w:defaultTabStop w:val="720"/>
  <w:drawingGridHorizontalSpacing w:val="120"/>
  <w:noPunctuationKerning w:val="true"/>
  <w:characterSpacingControl w:val="doNotCompress"/>
  <w:doNotValidateAgainstSchema/>
  <w:doNotDemarcateInvalidXm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24FF"/>
    <w:rsid w:val="000027BD"/>
    <w:rsid w:val="00005B19"/>
    <w:rsid w:val="000146BB"/>
    <w:rsid w:val="000150B7"/>
    <w:rsid w:val="00021AB2"/>
    <w:rsid w:val="0002338B"/>
    <w:rsid w:val="000326C8"/>
    <w:rsid w:val="00041C40"/>
    <w:rsid w:val="0004292A"/>
    <w:rsid w:val="00043C22"/>
    <w:rsid w:val="000467AA"/>
    <w:rsid w:val="000474FE"/>
    <w:rsid w:val="000566B7"/>
    <w:rsid w:val="00062616"/>
    <w:rsid w:val="00072C7C"/>
    <w:rsid w:val="00073E6B"/>
    <w:rsid w:val="00076950"/>
    <w:rsid w:val="0007723F"/>
    <w:rsid w:val="00077D60"/>
    <w:rsid w:val="00083590"/>
    <w:rsid w:val="00092F4E"/>
    <w:rsid w:val="000B58E5"/>
    <w:rsid w:val="000B653C"/>
    <w:rsid w:val="000C6953"/>
    <w:rsid w:val="000D113D"/>
    <w:rsid w:val="000E29A9"/>
    <w:rsid w:val="000E2C05"/>
    <w:rsid w:val="000E3A81"/>
    <w:rsid w:val="000F11ED"/>
    <w:rsid w:val="000F49A5"/>
    <w:rsid w:val="00107E19"/>
    <w:rsid w:val="00114F15"/>
    <w:rsid w:val="00115F62"/>
    <w:rsid w:val="00123E26"/>
    <w:rsid w:val="0012596D"/>
    <w:rsid w:val="00125E94"/>
    <w:rsid w:val="00126190"/>
    <w:rsid w:val="00137F7C"/>
    <w:rsid w:val="00145B05"/>
    <w:rsid w:val="00154601"/>
    <w:rsid w:val="001639D8"/>
    <w:rsid w:val="00171C0A"/>
    <w:rsid w:val="00177333"/>
    <w:rsid w:val="00186A05"/>
    <w:rsid w:val="001965E2"/>
    <w:rsid w:val="001A10B9"/>
    <w:rsid w:val="001B270E"/>
    <w:rsid w:val="001B4EA1"/>
    <w:rsid w:val="001C3657"/>
    <w:rsid w:val="001C5840"/>
    <w:rsid w:val="001D1555"/>
    <w:rsid w:val="001D6168"/>
    <w:rsid w:val="001E0F1F"/>
    <w:rsid w:val="001F346E"/>
    <w:rsid w:val="001F35AA"/>
    <w:rsid w:val="001F367B"/>
    <w:rsid w:val="001F5FB7"/>
    <w:rsid w:val="00203768"/>
    <w:rsid w:val="00220BE4"/>
    <w:rsid w:val="00224A7C"/>
    <w:rsid w:val="002278D1"/>
    <w:rsid w:val="00231665"/>
    <w:rsid w:val="00233737"/>
    <w:rsid w:val="0023519D"/>
    <w:rsid w:val="002403B5"/>
    <w:rsid w:val="00245281"/>
    <w:rsid w:val="00250E61"/>
    <w:rsid w:val="00251D9D"/>
    <w:rsid w:val="00261202"/>
    <w:rsid w:val="00261F94"/>
    <w:rsid w:val="002622CE"/>
    <w:rsid w:val="00267941"/>
    <w:rsid w:val="0027251B"/>
    <w:rsid w:val="00276B6E"/>
    <w:rsid w:val="002804E7"/>
    <w:rsid w:val="002832FE"/>
    <w:rsid w:val="00287E91"/>
    <w:rsid w:val="00290DA7"/>
    <w:rsid w:val="00291652"/>
    <w:rsid w:val="002964A1"/>
    <w:rsid w:val="002A25F2"/>
    <w:rsid w:val="002A7C26"/>
    <w:rsid w:val="002C7C19"/>
    <w:rsid w:val="002E21E5"/>
    <w:rsid w:val="002E4A45"/>
    <w:rsid w:val="002E686C"/>
    <w:rsid w:val="002F09A7"/>
    <w:rsid w:val="002F5271"/>
    <w:rsid w:val="002F5BB0"/>
    <w:rsid w:val="00306B88"/>
    <w:rsid w:val="00310488"/>
    <w:rsid w:val="00311263"/>
    <w:rsid w:val="0031743B"/>
    <w:rsid w:val="0034107F"/>
    <w:rsid w:val="00344D27"/>
    <w:rsid w:val="00346513"/>
    <w:rsid w:val="0035604C"/>
    <w:rsid w:val="00371332"/>
    <w:rsid w:val="003850D4"/>
    <w:rsid w:val="00385F00"/>
    <w:rsid w:val="003866EF"/>
    <w:rsid w:val="00387DF9"/>
    <w:rsid w:val="00395B6D"/>
    <w:rsid w:val="003A4565"/>
    <w:rsid w:val="003A7BB2"/>
    <w:rsid w:val="003B27EC"/>
    <w:rsid w:val="003B2F86"/>
    <w:rsid w:val="003B4439"/>
    <w:rsid w:val="003B4C9E"/>
    <w:rsid w:val="003B7CBC"/>
    <w:rsid w:val="003C3456"/>
    <w:rsid w:val="003C4980"/>
    <w:rsid w:val="003D0B3A"/>
    <w:rsid w:val="003D1131"/>
    <w:rsid w:val="003D1BEA"/>
    <w:rsid w:val="003E3B57"/>
    <w:rsid w:val="003E73DB"/>
    <w:rsid w:val="00405ECB"/>
    <w:rsid w:val="00410914"/>
    <w:rsid w:val="004119F5"/>
    <w:rsid w:val="004166B2"/>
    <w:rsid w:val="004203EF"/>
    <w:rsid w:val="00427E52"/>
    <w:rsid w:val="00435E96"/>
    <w:rsid w:val="00446353"/>
    <w:rsid w:val="0044739B"/>
    <w:rsid w:val="00454010"/>
    <w:rsid w:val="00467A6B"/>
    <w:rsid w:val="00477413"/>
    <w:rsid w:val="00493785"/>
    <w:rsid w:val="0049707A"/>
    <w:rsid w:val="004973DB"/>
    <w:rsid w:val="0049771A"/>
    <w:rsid w:val="004A4BF1"/>
    <w:rsid w:val="004B1041"/>
    <w:rsid w:val="004B681D"/>
    <w:rsid w:val="004C3420"/>
    <w:rsid w:val="004C4680"/>
    <w:rsid w:val="004C47B1"/>
    <w:rsid w:val="004D018B"/>
    <w:rsid w:val="004D124C"/>
    <w:rsid w:val="004D4435"/>
    <w:rsid w:val="004E7A0D"/>
    <w:rsid w:val="004F1D68"/>
    <w:rsid w:val="004F2799"/>
    <w:rsid w:val="00512A53"/>
    <w:rsid w:val="00514F56"/>
    <w:rsid w:val="00523905"/>
    <w:rsid w:val="005251B9"/>
    <w:rsid w:val="00526C6B"/>
    <w:rsid w:val="00530BB4"/>
    <w:rsid w:val="00531E60"/>
    <w:rsid w:val="00532AD2"/>
    <w:rsid w:val="00540CD0"/>
    <w:rsid w:val="00545A47"/>
    <w:rsid w:val="00547A98"/>
    <w:rsid w:val="005609AC"/>
    <w:rsid w:val="00560BDA"/>
    <w:rsid w:val="00567927"/>
    <w:rsid w:val="005719D9"/>
    <w:rsid w:val="0057200D"/>
    <w:rsid w:val="00591CEC"/>
    <w:rsid w:val="005A0FF5"/>
    <w:rsid w:val="005A55DA"/>
    <w:rsid w:val="005B0CEB"/>
    <w:rsid w:val="005B18A3"/>
    <w:rsid w:val="005C7412"/>
    <w:rsid w:val="005D277C"/>
    <w:rsid w:val="005D6D17"/>
    <w:rsid w:val="005E2615"/>
    <w:rsid w:val="005E7B2F"/>
    <w:rsid w:val="005F5280"/>
    <w:rsid w:val="005F5F54"/>
    <w:rsid w:val="005F7223"/>
    <w:rsid w:val="005F7282"/>
    <w:rsid w:val="0060413B"/>
    <w:rsid w:val="00605EE6"/>
    <w:rsid w:val="0060669E"/>
    <w:rsid w:val="00614EBB"/>
    <w:rsid w:val="0061583E"/>
    <w:rsid w:val="00617BCA"/>
    <w:rsid w:val="006238BD"/>
    <w:rsid w:val="00630753"/>
    <w:rsid w:val="00632159"/>
    <w:rsid w:val="00635741"/>
    <w:rsid w:val="00645B6A"/>
    <w:rsid w:val="00654225"/>
    <w:rsid w:val="00655225"/>
    <w:rsid w:val="0065682B"/>
    <w:rsid w:val="00663873"/>
    <w:rsid w:val="00663DE4"/>
    <w:rsid w:val="00664174"/>
    <w:rsid w:val="006643EA"/>
    <w:rsid w:val="00672714"/>
    <w:rsid w:val="0067348D"/>
    <w:rsid w:val="006745A9"/>
    <w:rsid w:val="00682729"/>
    <w:rsid w:val="0069268A"/>
    <w:rsid w:val="006B2840"/>
    <w:rsid w:val="006B4541"/>
    <w:rsid w:val="006D1E2B"/>
    <w:rsid w:val="006E0D98"/>
    <w:rsid w:val="006E3180"/>
    <w:rsid w:val="006E655C"/>
    <w:rsid w:val="006E6E26"/>
    <w:rsid w:val="006E70AA"/>
    <w:rsid w:val="006F7A98"/>
    <w:rsid w:val="007029CB"/>
    <w:rsid w:val="00705778"/>
    <w:rsid w:val="00705C15"/>
    <w:rsid w:val="0071373B"/>
    <w:rsid w:val="00715741"/>
    <w:rsid w:val="0071592B"/>
    <w:rsid w:val="00720F7B"/>
    <w:rsid w:val="00726B19"/>
    <w:rsid w:val="00727BD0"/>
    <w:rsid w:val="00733D95"/>
    <w:rsid w:val="00736EB0"/>
    <w:rsid w:val="007373F0"/>
    <w:rsid w:val="007422E7"/>
    <w:rsid w:val="00742AFE"/>
    <w:rsid w:val="00742EDF"/>
    <w:rsid w:val="00751420"/>
    <w:rsid w:val="00761460"/>
    <w:rsid w:val="00761CD5"/>
    <w:rsid w:val="00763188"/>
    <w:rsid w:val="007674D7"/>
    <w:rsid w:val="00772298"/>
    <w:rsid w:val="00794062"/>
    <w:rsid w:val="00797584"/>
    <w:rsid w:val="007A2D94"/>
    <w:rsid w:val="007B651A"/>
    <w:rsid w:val="007B6ED8"/>
    <w:rsid w:val="007B75E4"/>
    <w:rsid w:val="007C4980"/>
    <w:rsid w:val="007C5CFD"/>
    <w:rsid w:val="007E2608"/>
    <w:rsid w:val="007E271D"/>
    <w:rsid w:val="007E4C94"/>
    <w:rsid w:val="007E4EF3"/>
    <w:rsid w:val="007F131A"/>
    <w:rsid w:val="007F1726"/>
    <w:rsid w:val="0080200E"/>
    <w:rsid w:val="00803A33"/>
    <w:rsid w:val="008051ED"/>
    <w:rsid w:val="00811775"/>
    <w:rsid w:val="008248B2"/>
    <w:rsid w:val="008255B9"/>
    <w:rsid w:val="00834D88"/>
    <w:rsid w:val="00845384"/>
    <w:rsid w:val="00861813"/>
    <w:rsid w:val="00864085"/>
    <w:rsid w:val="008640D1"/>
    <w:rsid w:val="008803D0"/>
    <w:rsid w:val="008803EA"/>
    <w:rsid w:val="00880F24"/>
    <w:rsid w:val="008836AF"/>
    <w:rsid w:val="00885043"/>
    <w:rsid w:val="00885638"/>
    <w:rsid w:val="00885C9B"/>
    <w:rsid w:val="00886976"/>
    <w:rsid w:val="008908B4"/>
    <w:rsid w:val="00893879"/>
    <w:rsid w:val="008A568D"/>
    <w:rsid w:val="008B2172"/>
    <w:rsid w:val="008B2AC1"/>
    <w:rsid w:val="008B40E4"/>
    <w:rsid w:val="008D2F19"/>
    <w:rsid w:val="008D4ED8"/>
    <w:rsid w:val="008D644E"/>
    <w:rsid w:val="008E5BCA"/>
    <w:rsid w:val="008F78D7"/>
    <w:rsid w:val="00901356"/>
    <w:rsid w:val="009022B0"/>
    <w:rsid w:val="00903E1F"/>
    <w:rsid w:val="00905F4A"/>
    <w:rsid w:val="009145E4"/>
    <w:rsid w:val="009249C4"/>
    <w:rsid w:val="009301D9"/>
    <w:rsid w:val="0093472F"/>
    <w:rsid w:val="009422B9"/>
    <w:rsid w:val="0094346F"/>
    <w:rsid w:val="00953187"/>
    <w:rsid w:val="009551E9"/>
    <w:rsid w:val="00955E70"/>
    <w:rsid w:val="0096333E"/>
    <w:rsid w:val="009668EC"/>
    <w:rsid w:val="0097174D"/>
    <w:rsid w:val="00977C3B"/>
    <w:rsid w:val="009823AE"/>
    <w:rsid w:val="009901B5"/>
    <w:rsid w:val="009910DF"/>
    <w:rsid w:val="009A0BCC"/>
    <w:rsid w:val="009A2EFA"/>
    <w:rsid w:val="009A48AA"/>
    <w:rsid w:val="009A57C5"/>
    <w:rsid w:val="009A6CD4"/>
    <w:rsid w:val="009A6E66"/>
    <w:rsid w:val="009B0211"/>
    <w:rsid w:val="009C14A8"/>
    <w:rsid w:val="009C16F8"/>
    <w:rsid w:val="009C1DE7"/>
    <w:rsid w:val="009C5625"/>
    <w:rsid w:val="009C5962"/>
    <w:rsid w:val="009D07F7"/>
    <w:rsid w:val="009D0999"/>
    <w:rsid w:val="009F0698"/>
    <w:rsid w:val="009F4789"/>
    <w:rsid w:val="009F4B34"/>
    <w:rsid w:val="00A05705"/>
    <w:rsid w:val="00A07965"/>
    <w:rsid w:val="00A16F03"/>
    <w:rsid w:val="00A21136"/>
    <w:rsid w:val="00A3323A"/>
    <w:rsid w:val="00A46C66"/>
    <w:rsid w:val="00A46FAF"/>
    <w:rsid w:val="00A51AD1"/>
    <w:rsid w:val="00A5288B"/>
    <w:rsid w:val="00A5674A"/>
    <w:rsid w:val="00A623EF"/>
    <w:rsid w:val="00A64F91"/>
    <w:rsid w:val="00A7438D"/>
    <w:rsid w:val="00A74797"/>
    <w:rsid w:val="00A7601D"/>
    <w:rsid w:val="00A81984"/>
    <w:rsid w:val="00AA0F23"/>
    <w:rsid w:val="00AA3E2F"/>
    <w:rsid w:val="00AA46CA"/>
    <w:rsid w:val="00AA535B"/>
    <w:rsid w:val="00AB5ED5"/>
    <w:rsid w:val="00AC3273"/>
    <w:rsid w:val="00AC57DC"/>
    <w:rsid w:val="00AC5B1F"/>
    <w:rsid w:val="00AC68C4"/>
    <w:rsid w:val="00AD02A3"/>
    <w:rsid w:val="00AD310D"/>
    <w:rsid w:val="00AD3D4D"/>
    <w:rsid w:val="00AE4069"/>
    <w:rsid w:val="00AE7916"/>
    <w:rsid w:val="00AF09EA"/>
    <w:rsid w:val="00AF1D6D"/>
    <w:rsid w:val="00AF5632"/>
    <w:rsid w:val="00B016BE"/>
    <w:rsid w:val="00B04913"/>
    <w:rsid w:val="00B13EE8"/>
    <w:rsid w:val="00B2169A"/>
    <w:rsid w:val="00B2772D"/>
    <w:rsid w:val="00B31D4D"/>
    <w:rsid w:val="00B324E7"/>
    <w:rsid w:val="00B3616B"/>
    <w:rsid w:val="00B37633"/>
    <w:rsid w:val="00B45F80"/>
    <w:rsid w:val="00B518C9"/>
    <w:rsid w:val="00B52EAC"/>
    <w:rsid w:val="00B54969"/>
    <w:rsid w:val="00B54E43"/>
    <w:rsid w:val="00B6255B"/>
    <w:rsid w:val="00B70DF9"/>
    <w:rsid w:val="00B73265"/>
    <w:rsid w:val="00B77D53"/>
    <w:rsid w:val="00B80B9E"/>
    <w:rsid w:val="00B838DA"/>
    <w:rsid w:val="00B86E3A"/>
    <w:rsid w:val="00B90BF1"/>
    <w:rsid w:val="00BA017F"/>
    <w:rsid w:val="00BA7866"/>
    <w:rsid w:val="00BB0EEF"/>
    <w:rsid w:val="00BB337C"/>
    <w:rsid w:val="00BC39D5"/>
    <w:rsid w:val="00BC54B5"/>
    <w:rsid w:val="00BC5DD1"/>
    <w:rsid w:val="00BD2A71"/>
    <w:rsid w:val="00BD535F"/>
    <w:rsid w:val="00BE08E3"/>
    <w:rsid w:val="00BE2EB1"/>
    <w:rsid w:val="00BE6E64"/>
    <w:rsid w:val="00BF31B7"/>
    <w:rsid w:val="00BF4F99"/>
    <w:rsid w:val="00C00882"/>
    <w:rsid w:val="00C04C32"/>
    <w:rsid w:val="00C06BC9"/>
    <w:rsid w:val="00C10048"/>
    <w:rsid w:val="00C16317"/>
    <w:rsid w:val="00C165C4"/>
    <w:rsid w:val="00C23C99"/>
    <w:rsid w:val="00C30E9B"/>
    <w:rsid w:val="00C36606"/>
    <w:rsid w:val="00C424FC"/>
    <w:rsid w:val="00C51ECC"/>
    <w:rsid w:val="00C600D9"/>
    <w:rsid w:val="00C61484"/>
    <w:rsid w:val="00C63952"/>
    <w:rsid w:val="00C66654"/>
    <w:rsid w:val="00C67ADA"/>
    <w:rsid w:val="00C810E8"/>
    <w:rsid w:val="00C847C2"/>
    <w:rsid w:val="00CA5370"/>
    <w:rsid w:val="00CA6613"/>
    <w:rsid w:val="00CB100B"/>
    <w:rsid w:val="00CC69AD"/>
    <w:rsid w:val="00CC6D89"/>
    <w:rsid w:val="00CD4BBF"/>
    <w:rsid w:val="00CD523D"/>
    <w:rsid w:val="00CE5C67"/>
    <w:rsid w:val="00CF089D"/>
    <w:rsid w:val="00CF1664"/>
    <w:rsid w:val="00CF5A8A"/>
    <w:rsid w:val="00D01278"/>
    <w:rsid w:val="00D058A2"/>
    <w:rsid w:val="00D12AB1"/>
    <w:rsid w:val="00D23B36"/>
    <w:rsid w:val="00D27AEB"/>
    <w:rsid w:val="00D31513"/>
    <w:rsid w:val="00D35F05"/>
    <w:rsid w:val="00D36E0C"/>
    <w:rsid w:val="00D53BAE"/>
    <w:rsid w:val="00D54AA3"/>
    <w:rsid w:val="00D57DBA"/>
    <w:rsid w:val="00D57EBC"/>
    <w:rsid w:val="00D71F76"/>
    <w:rsid w:val="00D76B66"/>
    <w:rsid w:val="00D77095"/>
    <w:rsid w:val="00D80573"/>
    <w:rsid w:val="00D94BB1"/>
    <w:rsid w:val="00D961C9"/>
    <w:rsid w:val="00D96332"/>
    <w:rsid w:val="00D97B80"/>
    <w:rsid w:val="00DA09E9"/>
    <w:rsid w:val="00DA1D73"/>
    <w:rsid w:val="00DB2761"/>
    <w:rsid w:val="00DB2FF6"/>
    <w:rsid w:val="00DD0E0C"/>
    <w:rsid w:val="00DD7765"/>
    <w:rsid w:val="00DE522D"/>
    <w:rsid w:val="00DE5458"/>
    <w:rsid w:val="00DF2369"/>
    <w:rsid w:val="00DF34CE"/>
    <w:rsid w:val="00E04262"/>
    <w:rsid w:val="00E23955"/>
    <w:rsid w:val="00E27A25"/>
    <w:rsid w:val="00E35F13"/>
    <w:rsid w:val="00E417DF"/>
    <w:rsid w:val="00E47327"/>
    <w:rsid w:val="00E642F5"/>
    <w:rsid w:val="00E7385D"/>
    <w:rsid w:val="00E86579"/>
    <w:rsid w:val="00E90A19"/>
    <w:rsid w:val="00E974F8"/>
    <w:rsid w:val="00EA1FFD"/>
    <w:rsid w:val="00EA47AD"/>
    <w:rsid w:val="00EA79DA"/>
    <w:rsid w:val="00EB0BFC"/>
    <w:rsid w:val="00EC0E0B"/>
    <w:rsid w:val="00EC636E"/>
    <w:rsid w:val="00EC7E55"/>
    <w:rsid w:val="00ED25EF"/>
    <w:rsid w:val="00ED3176"/>
    <w:rsid w:val="00ED6F93"/>
    <w:rsid w:val="00EE7CB8"/>
    <w:rsid w:val="00EF16FB"/>
    <w:rsid w:val="00EF1F5A"/>
    <w:rsid w:val="00EF3710"/>
    <w:rsid w:val="00EF446E"/>
    <w:rsid w:val="00F02216"/>
    <w:rsid w:val="00F0291C"/>
    <w:rsid w:val="00F101DD"/>
    <w:rsid w:val="00F13FB5"/>
    <w:rsid w:val="00F14193"/>
    <w:rsid w:val="00F14D59"/>
    <w:rsid w:val="00F15C58"/>
    <w:rsid w:val="00F20CCE"/>
    <w:rsid w:val="00F3614E"/>
    <w:rsid w:val="00F41BDE"/>
    <w:rsid w:val="00F426B3"/>
    <w:rsid w:val="00F46A92"/>
    <w:rsid w:val="00F56870"/>
    <w:rsid w:val="00F576E0"/>
    <w:rsid w:val="00F6440C"/>
    <w:rsid w:val="00F901CF"/>
    <w:rsid w:val="00F906EF"/>
    <w:rsid w:val="00F92683"/>
    <w:rsid w:val="00F9422B"/>
    <w:rsid w:val="00FA549E"/>
    <w:rsid w:val="00FA76A3"/>
    <w:rsid w:val="00FB33FD"/>
    <w:rsid w:val="00FB645E"/>
    <w:rsid w:val="00FC35ED"/>
    <w:rsid w:val="00FC415D"/>
    <w:rsid w:val="00FC5EE1"/>
    <w:rsid w:val="00FD55D2"/>
    <w:rsid w:val="00FD6CD9"/>
    <w:rsid w:val="00FD71EC"/>
    <w:rsid w:val="00FE011E"/>
    <w:rsid w:val="00FE0723"/>
    <w:rsid w:val="00FE1490"/>
    <w:rsid w:val="00FE20D9"/>
    <w:rsid w:val="00FF0FE1"/>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AFB21B"/>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1"/>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4"/>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0"/>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3"/>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1"/>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2"/>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4"/>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5"/>
    <w:qFormat/>
    <w:uiPriority w:val="0"/>
    <w:rPr>
      <w:rFonts w:cs="Simplified Arabic"/>
    </w:rPr>
  </w:style>
  <w:style w:type="paragraph" w:styleId="28">
    <w:name w:val="Body Text 3"/>
    <w:basedOn w:val="1"/>
    <w:link w:val="226"/>
    <w:qFormat/>
    <w:uiPriority w:val="0"/>
    <w:pPr>
      <w:ind w:left="2160"/>
    </w:pPr>
    <w:rPr>
      <w:rFonts w:cs="Simplified Arabic"/>
      <w:lang w:eastAsia="en-GB"/>
    </w:rPr>
  </w:style>
  <w:style w:type="paragraph" w:styleId="29">
    <w:name w:val="Closing"/>
    <w:basedOn w:val="1"/>
    <w:link w:val="227"/>
    <w:qFormat/>
    <w:uiPriority w:val="0"/>
    <w:pPr>
      <w:ind w:left="4320"/>
    </w:pPr>
    <w:rPr>
      <w:rFonts w:cs="Simplified Arabic"/>
    </w:rPr>
  </w:style>
  <w:style w:type="paragraph" w:styleId="30">
    <w:name w:val="Body Text Indent"/>
    <w:basedOn w:val="1"/>
    <w:link w:val="228"/>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29"/>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0"/>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1"/>
    <w:qFormat/>
    <w:uiPriority w:val="0"/>
    <w:rPr>
      <w:rFonts w:cs="Simplified Arabic"/>
    </w:rPr>
  </w:style>
  <w:style w:type="paragraph" w:styleId="42">
    <w:name w:val="Body Text Indent 2"/>
    <w:basedOn w:val="1"/>
    <w:link w:val="232"/>
    <w:qFormat/>
    <w:uiPriority w:val="0"/>
    <w:pPr>
      <w:spacing w:after="120"/>
      <w:ind w:left="360"/>
    </w:pPr>
    <w:rPr>
      <w:rFonts w:cs="Simplified Arabic"/>
    </w:rPr>
  </w:style>
  <w:style w:type="paragraph" w:styleId="43">
    <w:name w:val="endnote text"/>
    <w:basedOn w:val="1"/>
    <w:next w:val="1"/>
    <w:link w:val="233"/>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4"/>
    <w:qFormat/>
    <w:uiPriority w:val="0"/>
    <w:pPr>
      <w:spacing w:after="0"/>
    </w:pPr>
    <w:rPr>
      <w:rFonts w:ascii="Tahoma" w:hAnsi="Tahoma" w:cs="Tahoma"/>
      <w:sz w:val="16"/>
      <w:szCs w:val="16"/>
    </w:rPr>
  </w:style>
  <w:style w:type="paragraph" w:styleId="46">
    <w:name w:val="footer"/>
    <w:link w:val="235"/>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6"/>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39"/>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0"/>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1"/>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2"/>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qFormat/>
    <w:uiPriority w:val="0"/>
    <w:pPr>
      <w:spacing w:after="240"/>
    </w:pPr>
    <w:rPr>
      <w:b/>
      <w:bCs/>
    </w:rPr>
  </w:style>
  <w:style w:type="paragraph" w:styleId="76">
    <w:name w:val="Body Text First Indent"/>
    <w:basedOn w:val="5"/>
    <w:link w:val="246"/>
    <w:qFormat/>
    <w:uiPriority w:val="0"/>
    <w:pPr>
      <w:ind w:firstLine="720"/>
    </w:pPr>
  </w:style>
  <w:style w:type="paragraph" w:styleId="77">
    <w:name w:val="Body Text First Indent 2"/>
    <w:basedOn w:val="76"/>
    <w:link w:val="247"/>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Macro Text Char"/>
    <w:link w:val="2"/>
    <w:qFormat/>
    <w:uiPriority w:val="0"/>
    <w:rPr>
      <w:rFonts w:ascii="Courier New" w:hAnsi="Courier New" w:cs="Courier New"/>
      <w:lang w:val="en-GB" w:eastAsia="zh-CN" w:bidi="ar-AE"/>
    </w:rPr>
  </w:style>
  <w:style w:type="character" w:customStyle="1" w:styleId="211">
    <w:name w:val="Heading 1 Char"/>
    <w:link w:val="3"/>
    <w:qFormat/>
    <w:uiPriority w:val="0"/>
    <w:rPr>
      <w:sz w:val="24"/>
      <w:szCs w:val="24"/>
      <w:lang w:bidi="ar-AE"/>
    </w:rPr>
  </w:style>
  <w:style w:type="character" w:customStyle="1" w:styleId="212">
    <w:name w:val="Heading 2 Char"/>
    <w:link w:val="4"/>
    <w:qFormat/>
    <w:uiPriority w:val="0"/>
    <w:rPr>
      <w:sz w:val="24"/>
      <w:szCs w:val="24"/>
      <w:lang w:bidi="ar-AE"/>
    </w:rPr>
  </w:style>
  <w:style w:type="character" w:customStyle="1" w:styleId="213">
    <w:name w:val="Body Text Char"/>
    <w:link w:val="5"/>
    <w:qFormat/>
    <w:uiPriority w:val="0"/>
    <w:rPr>
      <w:sz w:val="24"/>
      <w:szCs w:val="24"/>
      <w:lang w:eastAsia="en-GB" w:bidi="ar-AE"/>
    </w:rPr>
  </w:style>
  <w:style w:type="character" w:customStyle="1" w:styleId="214">
    <w:name w:val="Heading 3 Char"/>
    <w:link w:val="6"/>
    <w:qFormat/>
    <w:uiPriority w:val="0"/>
    <w:rPr>
      <w:sz w:val="24"/>
      <w:szCs w:val="24"/>
      <w:lang w:bidi="ar-AE"/>
    </w:rPr>
  </w:style>
  <w:style w:type="character" w:customStyle="1" w:styleId="215">
    <w:name w:val="Heading 4 Char"/>
    <w:link w:val="7"/>
    <w:qFormat/>
    <w:uiPriority w:val="0"/>
    <w:rPr>
      <w:sz w:val="24"/>
      <w:szCs w:val="24"/>
      <w:lang w:bidi="ar-AE"/>
    </w:rPr>
  </w:style>
  <w:style w:type="character" w:customStyle="1" w:styleId="216">
    <w:name w:val="Heading 5 Char"/>
    <w:link w:val="8"/>
    <w:qFormat/>
    <w:uiPriority w:val="0"/>
    <w:rPr>
      <w:sz w:val="24"/>
      <w:szCs w:val="24"/>
      <w:lang w:bidi="ar-AE"/>
    </w:rPr>
  </w:style>
  <w:style w:type="character" w:customStyle="1" w:styleId="217">
    <w:name w:val="Heading 6 Char"/>
    <w:link w:val="9"/>
    <w:qFormat/>
    <w:uiPriority w:val="0"/>
    <w:rPr>
      <w:sz w:val="24"/>
      <w:szCs w:val="24"/>
      <w:lang w:bidi="ar-AE"/>
    </w:rPr>
  </w:style>
  <w:style w:type="character" w:customStyle="1" w:styleId="218">
    <w:name w:val="Heading 7 Char"/>
    <w:link w:val="10"/>
    <w:qFormat/>
    <w:uiPriority w:val="0"/>
    <w:rPr>
      <w:sz w:val="24"/>
      <w:szCs w:val="24"/>
      <w:lang w:bidi="ar-AE"/>
    </w:rPr>
  </w:style>
  <w:style w:type="character" w:customStyle="1" w:styleId="219">
    <w:name w:val="Heading 8 Char"/>
    <w:link w:val="11"/>
    <w:qFormat/>
    <w:uiPriority w:val="0"/>
    <w:rPr>
      <w:sz w:val="24"/>
      <w:szCs w:val="24"/>
      <w:lang w:bidi="ar-AE"/>
    </w:rPr>
  </w:style>
  <w:style w:type="character" w:customStyle="1" w:styleId="220">
    <w:name w:val="Heading 9 Char"/>
    <w:link w:val="12"/>
    <w:qFormat/>
    <w:uiPriority w:val="0"/>
    <w:rPr>
      <w:sz w:val="24"/>
      <w:szCs w:val="24"/>
      <w:lang w:bidi="ar-AE"/>
    </w:rPr>
  </w:style>
  <w:style w:type="character" w:customStyle="1" w:styleId="221">
    <w:name w:val="Note Heading Char"/>
    <w:link w:val="16"/>
    <w:qFormat/>
    <w:uiPriority w:val="0"/>
    <w:rPr>
      <w:sz w:val="24"/>
      <w:szCs w:val="24"/>
      <w:lang w:bidi="ar-AE"/>
    </w:rPr>
  </w:style>
  <w:style w:type="character" w:customStyle="1" w:styleId="222">
    <w:name w:val="E-mail Signature Char"/>
    <w:link w:val="18"/>
    <w:qFormat/>
    <w:uiPriority w:val="0"/>
    <w:rPr>
      <w:sz w:val="24"/>
      <w:szCs w:val="24"/>
      <w:lang w:bidi="ar-AE"/>
    </w:rPr>
  </w:style>
  <w:style w:type="character" w:customStyle="1" w:styleId="223">
    <w:name w:val="Document Map Char"/>
    <w:link w:val="23"/>
    <w:qFormat/>
    <w:uiPriority w:val="0"/>
    <w:rPr>
      <w:rFonts w:ascii="Tahoma" w:hAnsi="Tahoma" w:cs="Tahoma"/>
      <w:sz w:val="16"/>
      <w:szCs w:val="16"/>
      <w:lang w:bidi="ar-AE"/>
    </w:rPr>
  </w:style>
  <w:style w:type="character" w:customStyle="1" w:styleId="224">
    <w:name w:val="Comment Text Char"/>
    <w:link w:val="25"/>
    <w:qFormat/>
    <w:uiPriority w:val="0"/>
    <w:rPr>
      <w:lang w:bidi="ar-AE"/>
    </w:rPr>
  </w:style>
  <w:style w:type="character" w:customStyle="1" w:styleId="225">
    <w:name w:val="Salutation Char"/>
    <w:link w:val="27"/>
    <w:qFormat/>
    <w:uiPriority w:val="0"/>
    <w:rPr>
      <w:sz w:val="24"/>
      <w:szCs w:val="24"/>
      <w:lang w:bidi="ar-AE"/>
    </w:rPr>
  </w:style>
  <w:style w:type="character" w:customStyle="1" w:styleId="226">
    <w:name w:val="Body Text 3 Char"/>
    <w:link w:val="28"/>
    <w:qFormat/>
    <w:uiPriority w:val="0"/>
    <w:rPr>
      <w:sz w:val="24"/>
      <w:szCs w:val="24"/>
      <w:lang w:eastAsia="en-GB" w:bidi="ar-AE"/>
    </w:rPr>
  </w:style>
  <w:style w:type="character" w:customStyle="1" w:styleId="227">
    <w:name w:val="Closing Char"/>
    <w:link w:val="29"/>
    <w:qFormat/>
    <w:uiPriority w:val="0"/>
    <w:rPr>
      <w:sz w:val="24"/>
      <w:szCs w:val="24"/>
      <w:lang w:bidi="ar-AE"/>
    </w:rPr>
  </w:style>
  <w:style w:type="character" w:customStyle="1" w:styleId="228">
    <w:name w:val="Body Text Indent Char"/>
    <w:link w:val="30"/>
    <w:qFormat/>
    <w:uiPriority w:val="0"/>
    <w:rPr>
      <w:sz w:val="24"/>
      <w:szCs w:val="24"/>
      <w:lang w:bidi="ar-AE"/>
    </w:rPr>
  </w:style>
  <w:style w:type="character" w:customStyle="1" w:styleId="229">
    <w:name w:val="HTML Address Char"/>
    <w:link w:val="34"/>
    <w:qFormat/>
    <w:uiPriority w:val="0"/>
    <w:rPr>
      <w:i/>
      <w:iCs/>
      <w:sz w:val="24"/>
      <w:szCs w:val="24"/>
      <w:lang w:bidi="ar-AE"/>
    </w:rPr>
  </w:style>
  <w:style w:type="character" w:customStyle="1" w:styleId="230">
    <w:name w:val="Plain Text Char"/>
    <w:link w:val="38"/>
    <w:qFormat/>
    <w:uiPriority w:val="0"/>
    <w:rPr>
      <w:rFonts w:ascii="Courier New" w:hAnsi="Courier New" w:cs="Courier New"/>
      <w:lang w:bidi="ar-AE"/>
    </w:rPr>
  </w:style>
  <w:style w:type="character" w:customStyle="1" w:styleId="231">
    <w:name w:val="Date Char"/>
    <w:link w:val="41"/>
    <w:qFormat/>
    <w:uiPriority w:val="0"/>
    <w:rPr>
      <w:sz w:val="24"/>
      <w:szCs w:val="24"/>
      <w:lang w:bidi="ar-AE"/>
    </w:rPr>
  </w:style>
  <w:style w:type="character" w:customStyle="1" w:styleId="232">
    <w:name w:val="Body Text Indent 2 Char"/>
    <w:link w:val="42"/>
    <w:qFormat/>
    <w:uiPriority w:val="0"/>
    <w:rPr>
      <w:sz w:val="24"/>
      <w:szCs w:val="24"/>
      <w:lang w:bidi="ar-AE"/>
    </w:rPr>
  </w:style>
  <w:style w:type="character" w:customStyle="1" w:styleId="233">
    <w:name w:val="Endnote Text Char"/>
    <w:link w:val="43"/>
    <w:qFormat/>
    <w:uiPriority w:val="0"/>
    <w:rPr>
      <w:lang w:bidi="ar-AE"/>
    </w:rPr>
  </w:style>
  <w:style w:type="character" w:customStyle="1" w:styleId="234">
    <w:name w:val="Balloon Text Char"/>
    <w:link w:val="45"/>
    <w:qFormat/>
    <w:uiPriority w:val="0"/>
    <w:rPr>
      <w:rFonts w:ascii="Tahoma" w:hAnsi="Tahoma" w:cs="Tahoma"/>
      <w:sz w:val="16"/>
      <w:szCs w:val="16"/>
      <w:lang w:bidi="ar-AE"/>
    </w:rPr>
  </w:style>
  <w:style w:type="character" w:customStyle="1" w:styleId="235">
    <w:name w:val="Footer Char"/>
    <w:link w:val="46"/>
    <w:qFormat/>
    <w:uiPriority w:val="0"/>
    <w:rPr>
      <w:sz w:val="16"/>
      <w:szCs w:val="16"/>
      <w:lang w:val="en-GB" w:eastAsia="zh-CN" w:bidi="he-IL"/>
    </w:rPr>
  </w:style>
  <w:style w:type="character" w:customStyle="1" w:styleId="236">
    <w:name w:val="Header Char"/>
    <w:link w:val="48"/>
    <w:qFormat/>
    <w:uiPriority w:val="99"/>
    <w:rPr>
      <w:sz w:val="24"/>
      <w:szCs w:val="24"/>
      <w:lang w:val="en-GB" w:eastAsia="zh-CN" w:bidi="he-IL"/>
    </w:rPr>
  </w:style>
  <w:style w:type="character" w:customStyle="1" w:styleId="237">
    <w:name w:val="Signature Char"/>
    <w:link w:val="49"/>
    <w:qFormat/>
    <w:uiPriority w:val="0"/>
    <w:rPr>
      <w:sz w:val="24"/>
      <w:szCs w:val="24"/>
      <w:lang w:bidi="ar-AE"/>
    </w:rPr>
  </w:style>
  <w:style w:type="character" w:customStyle="1" w:styleId="238">
    <w:name w:val="Subtitle Char"/>
    <w:link w:val="54"/>
    <w:qFormat/>
    <w:uiPriority w:val="0"/>
    <w:rPr>
      <w:sz w:val="24"/>
      <w:szCs w:val="24"/>
      <w:lang w:bidi="ar-AE"/>
    </w:rPr>
  </w:style>
  <w:style w:type="character" w:customStyle="1" w:styleId="239">
    <w:name w:val="Footnote Text Char"/>
    <w:link w:val="56"/>
    <w:qFormat/>
    <w:uiPriority w:val="0"/>
    <w:rPr>
      <w:lang w:bidi="ar-AE"/>
    </w:rPr>
  </w:style>
  <w:style w:type="character" w:customStyle="1" w:styleId="240">
    <w:name w:val="Body Text Indent 3 Char"/>
    <w:link w:val="59"/>
    <w:qFormat/>
    <w:uiPriority w:val="0"/>
    <w:rPr>
      <w:sz w:val="16"/>
      <w:szCs w:val="16"/>
      <w:lang w:bidi="ar-AE"/>
    </w:rPr>
  </w:style>
  <w:style w:type="character" w:customStyle="1" w:styleId="241">
    <w:name w:val="Body Text 2 Char"/>
    <w:link w:val="65"/>
    <w:qFormat/>
    <w:uiPriority w:val="0"/>
    <w:rPr>
      <w:sz w:val="24"/>
      <w:szCs w:val="24"/>
      <w:lang w:eastAsia="en-GB" w:bidi="ar-AE"/>
    </w:rPr>
  </w:style>
  <w:style w:type="character" w:customStyle="1" w:styleId="242">
    <w:name w:val="Message Header Char"/>
    <w:link w:val="68"/>
    <w:qFormat/>
    <w:uiPriority w:val="0"/>
    <w:rPr>
      <w:rFonts w:ascii="Times New Roman" w:hAnsi="Times New Roman" w:eastAsia="宋体" w:cs="Simplified Arabic"/>
      <w:sz w:val="24"/>
      <w:szCs w:val="24"/>
      <w:shd w:val="pct20" w:color="auto" w:fill="auto"/>
      <w:lang w:bidi="ar-AE"/>
    </w:rPr>
  </w:style>
  <w:style w:type="character" w:customStyle="1" w:styleId="243">
    <w:name w:val="HTML Preformatted Char"/>
    <w:link w:val="69"/>
    <w:qFormat/>
    <w:uiPriority w:val="0"/>
    <w:rPr>
      <w:rFonts w:ascii="Courier New" w:hAnsi="Courier New" w:cs="Courier New"/>
      <w:lang w:bidi="ar-AE"/>
    </w:rPr>
  </w:style>
  <w:style w:type="character" w:customStyle="1" w:styleId="244">
    <w:name w:val="Title Char"/>
    <w:link w:val="74"/>
    <w:qFormat/>
    <w:uiPriority w:val="0"/>
    <w:rPr>
      <w:b/>
      <w:bCs/>
      <w:sz w:val="24"/>
      <w:szCs w:val="24"/>
      <w:lang w:bidi="ar-AE"/>
    </w:rPr>
  </w:style>
  <w:style w:type="character" w:customStyle="1" w:styleId="245">
    <w:name w:val="Comment Subject Char"/>
    <w:link w:val="75"/>
    <w:qFormat/>
    <w:uiPriority w:val="0"/>
    <w:rPr>
      <w:b/>
      <w:bCs/>
      <w:lang w:bidi="ar-AE"/>
    </w:rPr>
  </w:style>
  <w:style w:type="character" w:customStyle="1" w:styleId="246">
    <w:name w:val="Body Text First Indent Char"/>
    <w:link w:val="76"/>
    <w:qFormat/>
    <w:uiPriority w:val="0"/>
    <w:rPr>
      <w:sz w:val="24"/>
      <w:szCs w:val="24"/>
      <w:lang w:eastAsia="en-GB" w:bidi="ar-AE"/>
    </w:rPr>
  </w:style>
  <w:style w:type="character" w:customStyle="1" w:styleId="247">
    <w:name w:val="Body Text First Indent 2 Char"/>
    <w:link w:val="77"/>
    <w:qFormat/>
    <w:uiPriority w:val="0"/>
    <w:rPr>
      <w:sz w:val="24"/>
      <w:szCs w:val="24"/>
      <w:lang w:eastAsia="en-GB" w:bidi="ar-AE"/>
    </w:rPr>
  </w:style>
  <w:style w:type="paragraph" w:customStyle="1" w:styleId="248">
    <w:name w:val="Body Text 1"/>
    <w:basedOn w:val="1"/>
    <w:qFormat/>
    <w:uiPriority w:val="0"/>
    <w:pPr>
      <w:ind w:left="720"/>
    </w:pPr>
    <w:rPr>
      <w:lang w:eastAsia="en-GB"/>
    </w:rPr>
  </w:style>
  <w:style w:type="paragraph" w:customStyle="1" w:styleId="249">
    <w:name w:val="Body Text 4"/>
    <w:basedOn w:val="1"/>
    <w:qFormat/>
    <w:uiPriority w:val="0"/>
    <w:pPr>
      <w:ind w:left="2880"/>
    </w:pPr>
    <w:rPr>
      <w:lang w:eastAsia="en-GB"/>
    </w:rPr>
  </w:style>
  <w:style w:type="paragraph" w:customStyle="1" w:styleId="250">
    <w:name w:val="Body Text 5"/>
    <w:basedOn w:val="1"/>
    <w:qFormat/>
    <w:uiPriority w:val="0"/>
    <w:pPr>
      <w:ind w:left="3600"/>
    </w:pPr>
    <w:rPr>
      <w:lang w:eastAsia="en-GB"/>
    </w:rPr>
  </w:style>
  <w:style w:type="paragraph" w:customStyle="1" w:styleId="251">
    <w:name w:val="Body Text 6"/>
    <w:basedOn w:val="1"/>
    <w:qFormat/>
    <w:uiPriority w:val="0"/>
    <w:pPr>
      <w:ind w:left="4320"/>
    </w:pPr>
    <w:rPr>
      <w:lang w:eastAsia="en-GB"/>
    </w:rPr>
  </w:style>
  <w:style w:type="paragraph" w:customStyle="1" w:styleId="252">
    <w:name w:val="Body Text 7"/>
    <w:basedOn w:val="1"/>
    <w:qFormat/>
    <w:uiPriority w:val="0"/>
    <w:pPr>
      <w:ind w:left="5041"/>
    </w:pPr>
    <w:rPr>
      <w:lang w:eastAsia="en-GB"/>
    </w:rPr>
  </w:style>
  <w:style w:type="paragraph" w:customStyle="1" w:styleId="253">
    <w:name w:val="Footer Right"/>
    <w:basedOn w:val="46"/>
    <w:qFormat/>
    <w:uiPriority w:val="0"/>
    <w:pPr>
      <w:jc w:val="right"/>
    </w:pPr>
  </w:style>
  <w:style w:type="paragraph" w:customStyle="1" w:styleId="254">
    <w:name w:val="Footnote"/>
    <w:basedOn w:val="56"/>
    <w:qFormat/>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Heading"/>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Bibliography"/>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Intense Quote Char"/>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Quote Char"/>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1"/>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0"/>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49"/>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FangSong_GB2312"/>
      <w:bCs/>
      <w:sz w:val="21"/>
      <w:szCs w:val="21"/>
    </w:rPr>
  </w:style>
  <w:style w:type="paragraph" w:customStyle="1" w:styleId="331">
    <w:name w:val="Revision"/>
    <w:hidden/>
    <w:unhideWhenUsed/>
    <w:qFormat/>
    <w:uiPriority w:val="99"/>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210</Words>
  <Characters>1198</Characters>
  <Lines>9</Lines>
  <Paragraphs>2</Paragraphs>
  <TotalTime>1</TotalTime>
  <ScaleCrop>false</ScaleCrop>
  <LinksUpToDate>false</LinksUpToDate>
  <CharactersWithSpaces>1406</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2023-10-19T00:46:00Z</dcterms:created>
  <dcterms:modified xsi:type="dcterms:W3CDTF">2023-12-22T16:01:37Z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
  </property>
  <property fmtid="{D5CDD505-2E9C-101B-9397-08002B2CF9AE}" pid="3" name="DEDocumentLocation">
    <vt:lpwstr>C:\Users\qqian\OneDrive - Linklaters\From-WorkFolders\AFIG\Collins\RFI 2\简易案件公示表（更新）.docx</vt:lpwstr>
  </property>
  <property fmtid="{D5CDD505-2E9C-101B-9397-08002B2CF9AE}" pid="4" name="Document Number">
    <vt:lpwstr/>
  </property>
  <property fmtid="{D5CDD505-2E9C-101B-9397-08002B2CF9AE}" pid="5" name="Last Modified">
    <vt:lpwstr/>
  </property>
  <property fmtid="{D5CDD505-2E9C-101B-9397-08002B2CF9AE}" pid="6" name="Matter Number">
    <vt:lpwstr/>
  </property>
  <property fmtid="{D5CDD505-2E9C-101B-9397-08002B2CF9AE}" pid="7" name="Mode">
    <vt:lpwstr>Export</vt:lpwstr>
  </property>
  <property fmtid="{D5CDD505-2E9C-101B-9397-08002B2CF9AE}" pid="8" name="Version">
    <vt:lpwstr/>
  </property>
  <property fmtid="{D5CDD505-2E9C-101B-9397-08002B2CF9AE}" pid="9" name="ObjectID">
    <vt:lpwstr/>
  </property>
  <property fmtid="{D5CDD505-2E9C-101B-9397-08002B2CF9AE}" pid="10" name="KSOProductBuildVer">
    <vt:lpwstr>2052-11.8.2.10552</vt:lpwstr>
  </property>
</Properties>
</file>