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jc w:val="center"/>
        <w:textAlignment w:val="auto"/>
        <w:rPr>
          <w:rFonts w:hint="default" w:ascii="Times New Roman" w:hAnsi="Times New Roman" w:eastAsia="黑体" w:cs="Times New Roman"/>
          <w:bCs/>
          <w:color w:val="auto"/>
          <w:kern w:val="2"/>
          <w:sz w:val="52"/>
          <w:szCs w:val="52"/>
        </w:rPr>
      </w:pPr>
      <w:r>
        <w:rPr>
          <w:rFonts w:hint="default" w:ascii="Times New Roman" w:hAnsi="Times New Roman" w:eastAsia="黑体" w:cs="Times New Roman"/>
          <w:bCs/>
          <w:color w:val="auto"/>
          <w:spacing w:val="30"/>
          <w:kern w:val="0"/>
          <w:sz w:val="52"/>
          <w:szCs w:val="52"/>
          <w:fitText w:val="5742" w:id="434980390"/>
        </w:rPr>
        <w:t>国家市场监督管理总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434980390"/>
        </w:rPr>
        <w:t>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jc w:val="center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44"/>
          <w:szCs w:val="44"/>
        </w:rPr>
      </w:pPr>
      <w:r>
        <w:rPr>
          <w:rFonts w:hint="default" w:ascii="Times New Roman" w:hAnsi="Times New Roman" w:eastAsia="黑体" w:cs="Times New Roman"/>
          <w:bCs/>
          <w:color w:val="auto"/>
          <w:spacing w:val="175"/>
          <w:kern w:val="0"/>
          <w:sz w:val="52"/>
          <w:szCs w:val="52"/>
          <w:fitText w:val="5742" w:id="1"/>
        </w:rPr>
        <w:t>行政处罚决定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1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国市监处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〔202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〕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123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当事人：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腾讯控股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</w:rPr>
        <w:t>有限公司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val="en-US" w:eastAsia="zh-CN"/>
        </w:rPr>
        <w:t>Tencent Holdings Limited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住 所：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开曼群岛哈金斯大道克里奇广场2681邮箱（Cricket Square Hutchins Drive P.O.Box 2681 Grand Cayman KYI-1111 Cayman Islands)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根据《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反垄断法》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（以下简称《反垄断法》）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《经营者集中审查暂行规定》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，本机关于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2021年8月12日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对</w:t>
      </w:r>
      <w:r>
        <w:rPr>
          <w:rFonts w:hint="default" w:ascii="Times New Roman" w:hAnsi="Times New Roman" w:eastAsia="仿宋_GB2312" w:cs="Times New Roman"/>
          <w:sz w:val="32"/>
          <w:lang w:eastAsia="zh-CN"/>
        </w:rPr>
        <w:t>腾讯控股有限公司</w:t>
      </w:r>
      <w:r>
        <w:rPr>
          <w:rFonts w:hint="default" w:ascii="Times New Roman" w:hAnsi="Times New Roman" w:eastAsia="仿宋_GB2312" w:cs="Times New Roman"/>
          <w:sz w:val="32"/>
        </w:rPr>
        <w:t>（以下简称</w:t>
      </w:r>
      <w:r>
        <w:rPr>
          <w:rFonts w:hint="default" w:ascii="Times New Roman" w:hAnsi="Times New Roman" w:eastAsia="仿宋_GB2312" w:cs="Times New Roman"/>
          <w:sz w:val="32"/>
          <w:lang w:eastAsia="zh-CN"/>
        </w:rPr>
        <w:t>腾讯</w:t>
      </w:r>
      <w:r>
        <w:rPr>
          <w:rFonts w:hint="default" w:ascii="Times New Roman" w:hAnsi="Times New Roman" w:eastAsia="仿宋_GB2312" w:cs="Times New Roman"/>
          <w:sz w:val="32"/>
        </w:rPr>
        <w:t>）收购</w:t>
      </w:r>
      <w:r>
        <w:rPr>
          <w:rFonts w:hint="default" w:ascii="Times New Roman" w:hAnsi="Times New Roman" w:eastAsia="仿宋_GB2312" w:cs="Times New Roman"/>
          <w:b w:val="0"/>
          <w:bCs w:val="0"/>
          <w:kern w:val="0"/>
          <w:sz w:val="32"/>
          <w:szCs w:val="32"/>
        </w:rPr>
        <w:t>IngageApp Global Limited</w:t>
      </w:r>
      <w:r>
        <w:rPr>
          <w:rFonts w:hint="default" w:ascii="Times New Roman" w:hAnsi="Times New Roman" w:eastAsia="仿宋_GB2312" w:cs="Times New Roman"/>
          <w:sz w:val="32"/>
        </w:rPr>
        <w:t>（以下简称</w:t>
      </w:r>
      <w:r>
        <w:rPr>
          <w:rFonts w:hint="default" w:ascii="Times New Roman" w:hAnsi="Times New Roman" w:eastAsia="仿宋_GB2312" w:cs="Times New Roman"/>
          <w:sz w:val="32"/>
          <w:lang w:eastAsia="zh-CN"/>
        </w:rPr>
        <w:t>销售易</w:t>
      </w:r>
      <w:r>
        <w:rPr>
          <w:rFonts w:hint="default" w:ascii="Times New Roman" w:hAnsi="Times New Roman" w:eastAsia="仿宋_GB2312" w:cs="Times New Roman"/>
          <w:sz w:val="32"/>
        </w:rPr>
        <w:t>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股权</w:t>
      </w:r>
      <w:r>
        <w:rPr>
          <w:rFonts w:hint="default" w:ascii="Times New Roman" w:hAnsi="Times New Roman" w:eastAsia="仿宋_GB2312" w:cs="Times New Roman"/>
          <w:color w:val="auto"/>
          <w:sz w:val="32"/>
          <w:lang w:val="en-US" w:eastAsia="zh-CN"/>
        </w:rPr>
        <w:t>涉嫌未依法申报违法实施经营者集中案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进行立案调查。</w:t>
      </w:r>
    </w:p>
    <w:p>
      <w:pPr>
        <w:keepNext w:val="0"/>
        <w:keepLines w:val="0"/>
        <w:pageBreakBefore w:val="0"/>
        <w:widowControl w:val="0"/>
        <w:suppressLineNumbers w:val="0"/>
        <w:suppressAutoHyphens/>
        <w:kinsoku/>
        <w:wordWrap/>
        <w:overflowPunct w:val="0"/>
        <w:topLinePunct w:val="0"/>
        <w:bidi w:val="0"/>
        <w:adjustRightInd w:val="0"/>
        <w:snapToGrid/>
        <w:spacing w:before="0" w:beforeAutospacing="0" w:afterAutospacing="0" w:line="594" w:lineRule="exact"/>
        <w:ind w:left="0" w:right="0" w:firstLine="628" w:firstLineChars="200"/>
        <w:jc w:val="left"/>
        <w:textAlignment w:val="auto"/>
        <w:outlineLvl w:val="9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经查，该案构成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违法实施经营者集中，但不具有排除、限制竞争的效果。本机关按照《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的规定，向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腾讯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送达了《行政处罚告知书》，告知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拟作出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内容及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事实、理由、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依据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并告知当事人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依法享有的陈述、申辩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要求听证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腾讯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书面来函放弃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陈述、申辩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要求听证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的权利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。本案现已调查、审理终结。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一、基本情况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（一）交易方。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sz w:val="32"/>
          <w:szCs w:val="32"/>
        </w:rPr>
        <w:t>收购方：</w:t>
      </w:r>
      <w:r>
        <w:rPr>
          <w:rFonts w:hint="default" w:ascii="Times New Roman" w:hAnsi="Times New Roman" w:eastAsia="仿宋_GB2312" w:cs="Times New Roman"/>
          <w:b/>
          <w:sz w:val="32"/>
          <w:szCs w:val="32"/>
          <w:lang w:eastAsia="zh-CN"/>
        </w:rPr>
        <w:t>腾讯</w:t>
      </w:r>
      <w:r>
        <w:rPr>
          <w:rFonts w:hint="default" w:ascii="Times New Roman" w:hAnsi="Times New Roman" w:eastAsia="仿宋_GB2312" w:cs="Times New Roman"/>
          <w:b/>
          <w:sz w:val="32"/>
          <w:szCs w:val="32"/>
        </w:rPr>
        <w:t>。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1999</w:t>
      </w:r>
      <w:r>
        <w:rPr>
          <w:rFonts w:hint="default" w:ascii="Times New Roman" w:hAnsi="Times New Roman" w:eastAsia="仿宋_GB2312" w:cs="Times New Roman"/>
          <w:sz w:val="32"/>
          <w:lang w:eastAsia="zh-CN"/>
        </w:rPr>
        <w:t>年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11月于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英属维尔京群岛注册成立，2004年2月迁册至英属开曼群岛，2004年6月在香港联交所上市，通过协议控制境内主要运营实体深圳市腾讯计算机系统有限公司。主要业务包括社交和通信服务、社交网络平台、游戏、网络视频服务、互动娱乐直播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。201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年全球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人民币（币种下同）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中国境内营业额为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41"/>
        <w:textAlignment w:val="auto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sz w:val="32"/>
        </w:rPr>
        <w:t>被收购方：</w:t>
      </w:r>
      <w:r>
        <w:rPr>
          <w:rFonts w:hint="default" w:ascii="Times New Roman" w:hAnsi="Times New Roman" w:eastAsia="仿宋_GB2312" w:cs="Times New Roman"/>
          <w:b/>
          <w:bCs/>
          <w:sz w:val="32"/>
          <w:lang w:eastAsia="zh-CN"/>
        </w:rPr>
        <w:t>销售易</w:t>
      </w:r>
      <w:r>
        <w:rPr>
          <w:rFonts w:hint="default" w:ascii="Times New Roman" w:hAnsi="Times New Roman" w:eastAsia="仿宋_GB2312" w:cs="Times New Roman"/>
          <w:sz w:val="32"/>
        </w:rPr>
        <w:t>。20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13</w:t>
      </w:r>
      <w:r>
        <w:rPr>
          <w:rFonts w:hint="default" w:ascii="Times New Roman" w:hAnsi="Times New Roman" w:eastAsia="仿宋_GB2312" w:cs="Times New Roman"/>
          <w:sz w:val="32"/>
        </w:rPr>
        <w:t>年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于开曼群岛注册成立，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由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iCs/>
          <w:sz w:val="32"/>
          <w:szCs w:val="32"/>
          <w:lang w:eastAsia="zh-CN"/>
        </w:rPr>
        <w:t>共同控制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。销售易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主要从事客户关系管理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Customer relationship management system，以下简称CRM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）服务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业务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201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年全球和中国</w:t>
      </w:r>
      <w:r>
        <w:rPr>
          <w:rFonts w:hint="default" w:ascii="Times New Roman" w:hAnsi="Times New Roman" w:eastAsia="仿宋_GB2312" w:cs="Times New Roman"/>
          <w:sz w:val="32"/>
        </w:rPr>
        <w:t>境内营业额均为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。</w:t>
      </w:r>
    </w:p>
    <w:p>
      <w:pPr>
        <w:pStyle w:val="9"/>
        <w:spacing w:line="594" w:lineRule="exact"/>
        <w:ind w:firstLine="641"/>
        <w:rPr>
          <w:rFonts w:hint="default" w:ascii="Times New Roman" w:hAnsi="Times New Roman" w:eastAsia="仿宋_GB2312" w:cs="Times New Roman"/>
          <w:b/>
          <w:bCs/>
          <w:sz w:val="32"/>
        </w:rPr>
      </w:pPr>
      <w:r>
        <w:rPr>
          <w:rFonts w:hint="default" w:ascii="Times New Roman" w:hAnsi="Times New Roman" w:eastAsia="仿宋_GB2312" w:cs="Times New Roman"/>
          <w:b/>
          <w:bCs/>
          <w:sz w:val="32"/>
        </w:rPr>
        <w:t>其他参与集中的经营者：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94" w:lineRule="exact"/>
        <w:ind w:firstLine="628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sz w:val="32"/>
        </w:rPr>
        <w:t xml:space="preserve">Sequoia Capital CV </w:t>
      </w:r>
      <w:r>
        <w:rPr>
          <w:rFonts w:hint="default" w:ascii="Times New Roman" w:hAnsi="Times New Roman" w:eastAsia="仿宋_GB2312" w:cs="Times New Roman"/>
          <w:b/>
          <w:sz w:val="32"/>
          <w:lang w:val="en-US" w:eastAsia="zh-CN"/>
        </w:rPr>
        <w:t>IV</w:t>
      </w:r>
      <w:r>
        <w:rPr>
          <w:rFonts w:hint="default" w:ascii="Times New Roman" w:hAnsi="Times New Roman" w:eastAsia="仿宋_GB2312" w:cs="Times New Roman"/>
          <w:b/>
          <w:sz w:val="32"/>
        </w:rPr>
        <w:t xml:space="preserve"> Holdco.</w:t>
      </w:r>
      <w:r>
        <w:rPr>
          <w:rFonts w:hint="default" w:ascii="Times New Roman" w:hAnsi="Times New Roman" w:eastAsia="仿宋_GB2312" w:cs="Times New Roman"/>
          <w:b/>
          <w:sz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b/>
          <w:sz w:val="32"/>
        </w:rPr>
        <w:t>Ltd</w:t>
      </w:r>
      <w:r>
        <w:rPr>
          <w:rFonts w:hint="eastAsia" w:ascii="Times New Roman" w:hAnsi="Times New Roman" w:eastAsia="仿宋_GB2312" w:cs="Times New Roman"/>
          <w:b w:val="0"/>
          <w:bCs/>
          <w:sz w:val="32"/>
          <w:lang w:eastAsia="zh-CN"/>
        </w:rPr>
        <w:t>（红杉中国第四风险控股有限公司，以下简称红杉第四控股）</w:t>
      </w:r>
      <w:r>
        <w:rPr>
          <w:rFonts w:hint="default" w:ascii="Times New Roman" w:hAnsi="Times New Roman" w:eastAsia="仿宋_GB2312" w:cs="Times New Roman"/>
          <w:sz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2012年于开曼群岛注册成立，主要从事投资与管理业务，最终控制人为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b w:val="0"/>
          <w:bCs/>
          <w:sz w:val="32"/>
          <w:lang w:eastAsia="zh-CN"/>
        </w:rPr>
        <w:t>红杉第四控股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2015年全球营业额为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，中国境内营业额为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。</w:t>
      </w:r>
    </w:p>
    <w:p>
      <w:pPr>
        <w:pStyle w:val="9"/>
        <w:spacing w:line="594" w:lineRule="exact"/>
        <w:ind w:firstLine="641"/>
        <w:rPr>
          <w:rFonts w:hint="default" w:ascii="Times New Roman" w:hAnsi="Times New Roman" w:eastAsia="仿宋_GB2312" w:cs="Times New Roman"/>
          <w:b/>
          <w:bCs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sz w:val="32"/>
          <w:lang w:eastAsia="zh-Hans"/>
        </w:rPr>
        <w:t>Matrix Partners China III Hong Kong Limited</w:t>
      </w:r>
      <w:r>
        <w:rPr>
          <w:rFonts w:hint="eastAsia" w:ascii="Times New Roman" w:hAnsi="Times New Roman" w:eastAsia="仿宋_GB2312" w:cs="Times New Roman"/>
          <w:b w:val="0"/>
          <w:bCs/>
          <w:sz w:val="32"/>
          <w:lang w:eastAsia="zh-CN"/>
        </w:rPr>
        <w:t>（经纬中国第三香港有限公司，以下简称经纬</w:t>
      </w:r>
      <w:r>
        <w:rPr>
          <w:rFonts w:hint="eastAsia" w:ascii="Times New Roman" w:hAnsi="Times New Roman" w:cs="Times New Roman"/>
          <w:b w:val="0"/>
          <w:bCs/>
          <w:sz w:val="32"/>
          <w:lang w:eastAsia="zh-CN"/>
        </w:rPr>
        <w:t>第三公司</w:t>
      </w:r>
      <w:r>
        <w:rPr>
          <w:rFonts w:hint="eastAsia" w:ascii="Times New Roman" w:hAnsi="Times New Roman" w:eastAsia="仿宋_GB2312" w:cs="Times New Roman"/>
          <w:b w:val="0"/>
          <w:bCs/>
          <w:sz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。2014年于中国香港注册成立，主要从事投资与管理业务，最终控制人为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。经纬第三公司2015年全球</w:t>
      </w:r>
      <w:r>
        <w:rPr>
          <w:rFonts w:hint="eastAsia" w:ascii="Times New Roman" w:hAnsi="Times New Roman" w:cs="Times New Roman"/>
          <w:sz w:val="32"/>
          <w:lang w:val="en-US" w:eastAsia="zh-CN"/>
        </w:rPr>
        <w:t>和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中国境内营业额</w:t>
      </w:r>
      <w:r>
        <w:rPr>
          <w:rFonts w:hint="eastAsia" w:ascii="Times New Roman" w:hAnsi="Times New Roman" w:cs="Times New Roman"/>
          <w:sz w:val="32"/>
          <w:lang w:val="en-US" w:eastAsia="zh-CN"/>
        </w:rPr>
        <w:t>均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（二）交易概况。</w:t>
      </w:r>
    </w:p>
    <w:p>
      <w:pPr>
        <w:pStyle w:val="9"/>
        <w:spacing w:line="240" w:lineRule="auto"/>
        <w:ind w:firstLine="640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该交易系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股权收购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CN" w:bidi="ar-SA"/>
        </w:rPr>
        <w:t>2016年12月12日，腾讯与销售易、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CN" w:bidi="ar-SA"/>
        </w:rPr>
        <w:t>、红杉第四控股、经纬第三公司以及销售易的关联公司IngageApp (HK) Limited、北京仁科互动网络技术有限公司、仁科互动（北京）信息科技有限公司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Hans" w:bidi="ar-SA"/>
        </w:rPr>
        <w:t>等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CN" w:bidi="ar-SA"/>
        </w:rPr>
        <w:t>签署《E轮优先股认购协议》，取得销售易10%的股份。2016年12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Hans" w:bidi="ar-SA"/>
        </w:rPr>
        <w:t>月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CN" w:bidi="ar-SA"/>
        </w:rPr>
        <w:t>12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Hans" w:bidi="ar-SA"/>
        </w:rPr>
        <w:t>日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本次交易完成股权变更登记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二、违法事实及理由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（一）本案构成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违法实施的经营者集中。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sz w:val="32"/>
          <w:szCs w:val="36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</w:rPr>
        <w:t>《反垄断法》第二十条规定“经营者集中是指下列情形：（一）经营者合并；（二）经营者通过取得股权或者资产的方式取得对其他经营者的控制权；（三）经营者通过合同等方式取得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对其他经营者的控制权或者能够对其他经营者施加决定性影响”。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CN" w:bidi="ar-SA"/>
        </w:rPr>
        <w:t>2016年12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Hans" w:bidi="ar-SA"/>
        </w:rPr>
        <w:t>月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CN" w:bidi="ar-SA"/>
        </w:rPr>
        <w:t>12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Hans" w:bidi="ar-SA"/>
        </w:rPr>
        <w:t>日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，腾讯以现金方式收购销售易10%的股权。根据销售易公司章程</w:t>
      </w:r>
      <w:r>
        <w:rPr>
          <w:rFonts w:hint="eastAsia" w:eastAsia="仿宋_GB2312" w:cs="Times New Roman"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腾讯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对销售易具有共同控制权，</w:t>
      </w:r>
      <w:r>
        <w:rPr>
          <w:rFonts w:hint="eastAsia" w:eastAsia="仿宋_GB2312" w:cs="Times New Roman"/>
          <w:sz w:val="32"/>
          <w:szCs w:val="32"/>
          <w:lang w:eastAsia="zh-CN"/>
        </w:rPr>
        <w:t>本交易</w:t>
      </w:r>
      <w:r>
        <w:rPr>
          <w:rFonts w:hint="default" w:ascii="Times New Roman" w:hAnsi="Times New Roman" w:eastAsia="仿宋_GB2312" w:cs="Times New Roman"/>
          <w:bCs/>
          <w:sz w:val="32"/>
          <w:szCs w:val="36"/>
          <w:lang w:eastAsia="zh-CN"/>
        </w:rPr>
        <w:t>属于《反垄断法》第二十条规定的经营者集中。</w:t>
      </w:r>
    </w:p>
    <w:p>
      <w:pPr>
        <w:pStyle w:val="5"/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before="0" w:beforeAutospacing="0" w:after="0" w:afterAutospacing="0" w:line="594" w:lineRule="exact"/>
        <w:ind w:firstLine="628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201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5年度，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腾讯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全球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中国境内营业额为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；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红杉第四控股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全球营业额为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，中国境内营业额为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；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经纬第三公司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全球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中国境内营业额均为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，属于应当申报的情形。</w:t>
      </w:r>
    </w:p>
    <w:p>
      <w:pPr>
        <w:pStyle w:val="5"/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before="0" w:beforeAutospacing="0" w:after="0" w:afterAutospacing="0" w:line="594" w:lineRule="exact"/>
        <w:ind w:firstLine="628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《反垄断法》第二十一条规定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“经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营者集中达到国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u w:val="none"/>
          <w:lang w:val="en-US" w:eastAsia="zh-CN" w:bidi="ar-SA"/>
        </w:rPr>
        <w:t>务院规定的申报标准的，经营者应当事先向国务院反垄断执法机构申报，未申报的不得实施集中”。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CN" w:bidi="ar-SA"/>
        </w:rPr>
        <w:t>2016年12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Hans" w:bidi="ar-SA"/>
        </w:rPr>
        <w:t>月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CN" w:bidi="ar-SA"/>
        </w:rPr>
        <w:t>12</w:t>
      </w:r>
      <w:r>
        <w:rPr>
          <w:rFonts w:hint="default" w:ascii="Times New Roman" w:hAnsi="Times New Roman" w:eastAsia="仿宋_GB2312" w:cs="Times New Roman"/>
          <w:kern w:val="2"/>
          <w:sz w:val="32"/>
          <w:szCs w:val="22"/>
          <w:lang w:val="en-US" w:eastAsia="zh-Hans" w:bidi="ar-SA"/>
        </w:rPr>
        <w:t>日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，本次交易完成股权变更登记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在此之前未依法申报，违反《反垄断法》第二十一条，构成违法实施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（二）本案不具有排除、限制竞争的效果。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outlineLvl w:val="0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</w:rPr>
        <w:t>本机关就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腾讯收购销售易股权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</w:rPr>
        <w:t>对市场竞争的影响进行了评估，评估认为，该项经营者集中不会产生排除、限制竞争的效果。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三、行政处罚依据和决定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16" w:firstLineChars="196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《反垄断法》第四十八条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规定“经营者违反本法规定实施集中的，由国务院反垄断执法机构责令停止实施集中、限期处分股份或者资产、限期转让营业以及采取其他必要措施恢复到集中前的状态，可以处五十万元以下的罚款”。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《反垄断法》第四十九条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规定“对本法第四十六条、第四十七条、第四十八条规定的罚款，反垄断执法机构确定具体罚款数额时，应当考虑违法行为的性质、程度和持续的时间等因素”。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根据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上述规定，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基于调查情况和评估结论，本机关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决定给予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腾讯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0万元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罚款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的行政处罚。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《行政处罚法》第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六十七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条规定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“作出罚款决定的行政机关应当与收缴罚款的机构分离。除依照本法第六十八条、第六十九条的规定当场收缴的罚款外，作出行政处罚决定的行政机关及其执法人员不得自行收缴罚款。当事人应当自收到行政处罚决定书之日起十五日内，到指定的银行或者通过电子支付系统缴纳罚款。银行应当收受罚款，并将罚款直接上缴国库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应当自收到本行政处罚决定书之日起十五日内，携缴款码到1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家中央财政非税收入收缴代理银行（工、农、中、建、交、中信、光大、招商、邮储、华夏、平安、兴业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、民生、广发、浙商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）任一银行网点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网上银行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缴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纳罚款。缴款码：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 xml:space="preserve">如对上述行政处罚决定不服，可以自收到本行政处罚决定书之日起六十日内，向国家市场监督管理总局申请行政复议；或者自收到本行政处罚决定书之日起六个月内，依法向人民法院提起行政诉讼。行政复议或者行政诉讼期间，本行政处罚决定不停止执行。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pacing w:after="0" w:line="594" w:lineRule="exact"/>
        <w:textAlignment w:val="auto"/>
        <w:rPr>
          <w:rFonts w:hint="default" w:ascii="Times New Roman" w:hAnsi="Times New Roman" w:eastAsia="仿宋_GB2312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433" w:firstLineChars="173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市场监管总局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225" w:firstLineChars="1664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年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月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31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（此件公开发布）</w:t>
      </w:r>
    </w:p>
    <w:sectPr>
      <w:footerReference r:id="rId3" w:type="default"/>
      <w:footerReference r:id="rId4" w:type="even"/>
      <w:pgSz w:w="11906" w:h="16838"/>
      <w:pgMar w:top="1440" w:right="1803" w:bottom="1440" w:left="1803" w:header="851" w:footer="1814" w:gutter="0"/>
      <w:cols w:space="0" w:num="1"/>
      <w:rtlGutter w:val="0"/>
      <w:docGrid w:type="linesAndChars" w:linePitch="290" w:charSpace="-1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FangSong_GB2312">
    <w:altName w:val="仿宋_GB2312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315" w:leftChars="150" w:right="315" w:rightChars="150"/>
      <w:rPr>
        <w:rStyle w:val="8"/>
        <w:rFonts w:hint="eastAsia" w:ascii="宋体" w:hAnsi="宋体"/>
        <w:sz w:val="28"/>
        <w:szCs w:val="28"/>
      </w:rPr>
    </w:pPr>
    <w:r>
      <w:rPr>
        <w:rStyle w:val="8"/>
        <w:rFonts w:hint="eastAsia" w:ascii="宋体" w:hAnsi="宋体"/>
        <w:sz w:val="28"/>
        <w:szCs w:val="28"/>
      </w:rPr>
      <w:t xml:space="preserve">— </w:t>
    </w:r>
    <w:r>
      <w:rPr>
        <w:rStyle w:val="8"/>
        <w:rFonts w:ascii="宋体" w:hAnsi="宋体"/>
        <w:sz w:val="28"/>
        <w:szCs w:val="28"/>
      </w:rPr>
      <w:fldChar w:fldCharType="begin"/>
    </w:r>
    <w:r>
      <w:rPr>
        <w:rStyle w:val="8"/>
        <w:rFonts w:ascii="宋体" w:hAnsi="宋体"/>
        <w:sz w:val="28"/>
        <w:szCs w:val="28"/>
      </w:rPr>
      <w:instrText xml:space="preserve">PAGE  </w:instrText>
    </w:r>
    <w:r>
      <w:rPr>
        <w:rStyle w:val="8"/>
        <w:rFonts w:ascii="宋体" w:hAnsi="宋体"/>
        <w:sz w:val="28"/>
        <w:szCs w:val="28"/>
      </w:rPr>
      <w:fldChar w:fldCharType="separate"/>
    </w:r>
    <w:r>
      <w:rPr>
        <w:rStyle w:val="8"/>
        <w:rFonts w:ascii="宋体" w:hAnsi="宋体"/>
        <w:sz w:val="28"/>
        <w:szCs w:val="28"/>
      </w:rPr>
      <w:t>1</w:t>
    </w:r>
    <w:r>
      <w:rPr>
        <w:rStyle w:val="8"/>
        <w:rFonts w:ascii="宋体" w:hAnsi="宋体"/>
        <w:sz w:val="28"/>
        <w:szCs w:val="28"/>
      </w:rPr>
      <w:fldChar w:fldCharType="end"/>
    </w:r>
    <w:r>
      <w:rPr>
        <w:rStyle w:val="8"/>
        <w:rFonts w:hint="eastAsia" w:ascii="宋体" w:hAnsi="宋体"/>
        <w:sz w:val="28"/>
        <w:szCs w:val="28"/>
      </w:rPr>
      <w:t xml:space="preserve"> —</w:t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4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570B1"/>
    <w:rsid w:val="0023200C"/>
    <w:rsid w:val="02215F20"/>
    <w:rsid w:val="04772CCF"/>
    <w:rsid w:val="05D15580"/>
    <w:rsid w:val="06907B19"/>
    <w:rsid w:val="06C5506E"/>
    <w:rsid w:val="06DB7938"/>
    <w:rsid w:val="075F674C"/>
    <w:rsid w:val="09AC08F5"/>
    <w:rsid w:val="09AD7C5E"/>
    <w:rsid w:val="13F85EFD"/>
    <w:rsid w:val="15240F80"/>
    <w:rsid w:val="16657401"/>
    <w:rsid w:val="169767E4"/>
    <w:rsid w:val="173B2FCB"/>
    <w:rsid w:val="18DB1E51"/>
    <w:rsid w:val="192053EE"/>
    <w:rsid w:val="1A156921"/>
    <w:rsid w:val="1B095395"/>
    <w:rsid w:val="1C11264C"/>
    <w:rsid w:val="1D3570B1"/>
    <w:rsid w:val="1ED67F29"/>
    <w:rsid w:val="1F573D93"/>
    <w:rsid w:val="21623065"/>
    <w:rsid w:val="21A54411"/>
    <w:rsid w:val="230C79BC"/>
    <w:rsid w:val="239A0124"/>
    <w:rsid w:val="265326DA"/>
    <w:rsid w:val="28C8606C"/>
    <w:rsid w:val="29171A1E"/>
    <w:rsid w:val="2A7A6DC6"/>
    <w:rsid w:val="2B0F6D0F"/>
    <w:rsid w:val="2F881520"/>
    <w:rsid w:val="31E778A8"/>
    <w:rsid w:val="330F7B0A"/>
    <w:rsid w:val="33684C36"/>
    <w:rsid w:val="33B94AAA"/>
    <w:rsid w:val="33E16394"/>
    <w:rsid w:val="38043EF0"/>
    <w:rsid w:val="39E75B24"/>
    <w:rsid w:val="3D086E74"/>
    <w:rsid w:val="3DC73F05"/>
    <w:rsid w:val="3FAD2E94"/>
    <w:rsid w:val="4297136E"/>
    <w:rsid w:val="43B84B68"/>
    <w:rsid w:val="44F1186A"/>
    <w:rsid w:val="48A63464"/>
    <w:rsid w:val="49513DE5"/>
    <w:rsid w:val="49F75885"/>
    <w:rsid w:val="4ABC40B8"/>
    <w:rsid w:val="4EF957B9"/>
    <w:rsid w:val="4EFD73AF"/>
    <w:rsid w:val="51075873"/>
    <w:rsid w:val="52A77C54"/>
    <w:rsid w:val="546005C8"/>
    <w:rsid w:val="56EA563C"/>
    <w:rsid w:val="5A3853F1"/>
    <w:rsid w:val="5B1D24D8"/>
    <w:rsid w:val="5BDD2331"/>
    <w:rsid w:val="5C686AC3"/>
    <w:rsid w:val="5D4E6DD5"/>
    <w:rsid w:val="614345F8"/>
    <w:rsid w:val="630535E1"/>
    <w:rsid w:val="63432760"/>
    <w:rsid w:val="640E6FE8"/>
    <w:rsid w:val="68197930"/>
    <w:rsid w:val="686D740E"/>
    <w:rsid w:val="6A564164"/>
    <w:rsid w:val="6CC522FF"/>
    <w:rsid w:val="6F712D0C"/>
    <w:rsid w:val="7073388E"/>
    <w:rsid w:val="74782380"/>
    <w:rsid w:val="78DF6597"/>
    <w:rsid w:val="799C3559"/>
    <w:rsid w:val="7A782B89"/>
    <w:rsid w:val="7CE345AA"/>
    <w:rsid w:val="7D641176"/>
    <w:rsid w:val="DDF5A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0"/>
    <w:pPr>
      <w:spacing w:after="120"/>
    </w:pPr>
    <w:rPr>
      <w:rFonts w:ascii="Calibri" w:hAnsi="Calibri" w:eastAsia="宋体" w:cs="Times New Roman"/>
      <w:szCs w:val="22"/>
    </w:rPr>
  </w:style>
  <w:style w:type="paragraph" w:styleId="3">
    <w:name w:val="Normal Indent"/>
    <w:basedOn w:val="1"/>
    <w:qFormat/>
    <w:uiPriority w:val="0"/>
    <w:pPr>
      <w:spacing w:line="360" w:lineRule="exact"/>
      <w:ind w:firstLine="420" w:firstLineChars="200"/>
    </w:pPr>
    <w:rPr>
      <w:szCs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age number"/>
    <w:basedOn w:val="7"/>
    <w:qFormat/>
    <w:uiPriority w:val="0"/>
  </w:style>
  <w:style w:type="paragraph" w:customStyle="1" w:styleId="9">
    <w:name w:val="内容"/>
    <w:basedOn w:val="1"/>
    <w:qFormat/>
    <w:uiPriority w:val="0"/>
    <w:pPr>
      <w:suppressAutoHyphens/>
      <w:overflowPunct w:val="0"/>
      <w:autoSpaceDE w:val="0"/>
      <w:autoSpaceDN w:val="0"/>
      <w:adjustRightInd w:val="0"/>
      <w:spacing w:line="360" w:lineRule="auto"/>
      <w:ind w:firstLine="200" w:firstLineChars="200"/>
    </w:pPr>
    <w:rPr>
      <w:rFonts w:ascii="仿宋_GB2312" w:hAnsi="仿宋_GB2312"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2020-12-10T10:26:00Z</dcterms:created>
  <dc:creator>徐霄飞</dc:creator>
  <cp:lastModifiedBy>张宝成</cp:lastModifiedBy>
  <cp:lastPrinted>2021-12-29T03:13:00Z</cp:lastPrinted>
  <dcterms:modified xsi:type="dcterms:W3CDTF">2021-12-31T08:38:50Z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