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黑体" w:cs="Times New Roman"/>
          <w:bCs/>
          <w:color w:val="auto"/>
          <w:kern w:val="2"/>
          <w:sz w:val="52"/>
          <w:szCs w:val="52"/>
        </w:rPr>
      </w:pPr>
      <w:r>
        <w:rPr>
          <w:rFonts w:hint="default" w:ascii="Times New Roman" w:hAnsi="Times New Roman" w:eastAsia="黑体" w:cs="Times New Roman"/>
          <w:bCs/>
          <w:color w:val="auto"/>
          <w:spacing w:val="30"/>
          <w:kern w:val="0"/>
          <w:sz w:val="52"/>
          <w:szCs w:val="52"/>
          <w:fitText w:val="5742" w:id="972384512"/>
        </w:rPr>
        <w:t>国家市场监督管理总</w:t>
      </w:r>
      <w:r>
        <w:rPr>
          <w:rFonts w:hint="default" w:ascii="Times New Roman" w:hAnsi="Times New Roman" w:eastAsia="黑体" w:cs="Times New Roman"/>
          <w:bCs/>
          <w:color w:val="auto"/>
          <w:spacing w:val="1"/>
          <w:kern w:val="0"/>
          <w:sz w:val="52"/>
          <w:szCs w:val="52"/>
          <w:fitText w:val="5742" w:id="972384512"/>
        </w:rPr>
        <w:t>局</w:t>
      </w:r>
    </w:p>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仿宋_GB2312" w:cs="Times New Roman"/>
          <w:color w:val="auto"/>
          <w:kern w:val="2"/>
          <w:sz w:val="44"/>
          <w:szCs w:val="44"/>
        </w:rPr>
      </w:pPr>
      <w:r>
        <w:rPr>
          <w:rFonts w:hint="default" w:ascii="Times New Roman" w:hAnsi="Times New Roman" w:eastAsia="黑体" w:cs="Times New Roman"/>
          <w:bCs/>
          <w:color w:val="auto"/>
          <w:spacing w:val="175"/>
          <w:kern w:val="0"/>
          <w:sz w:val="52"/>
          <w:szCs w:val="52"/>
          <w:fitText w:val="5742" w:id="1"/>
        </w:rPr>
        <w:t>行政处罚决定</w:t>
      </w:r>
      <w:r>
        <w:rPr>
          <w:rFonts w:hint="default" w:ascii="Times New Roman" w:hAnsi="Times New Roman" w:eastAsia="黑体" w:cs="Times New Roman"/>
          <w:bCs/>
          <w:color w:val="auto"/>
          <w:spacing w:val="1"/>
          <w:kern w:val="0"/>
          <w:sz w:val="52"/>
          <w:szCs w:val="52"/>
          <w:fitText w:val="5742" w:id="1"/>
        </w:rPr>
        <w:t>书</w:t>
      </w:r>
    </w:p>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color w:val="auto"/>
          <w:kern w:val="2"/>
          <w:sz w:val="32"/>
          <w:szCs w:val="32"/>
        </w:rPr>
        <w:t>国市监处</w:t>
      </w:r>
      <w:r>
        <w:rPr>
          <w:rFonts w:hint="eastAsia" w:eastAsia="仿宋_GB2312" w:cs="Times New Roman"/>
          <w:color w:val="auto"/>
          <w:kern w:val="2"/>
          <w:sz w:val="32"/>
          <w:szCs w:val="32"/>
          <w:lang w:val="en-US" w:eastAsia="zh-CN"/>
        </w:rPr>
        <w:t>罚</w:t>
      </w:r>
      <w:r>
        <w:rPr>
          <w:rFonts w:hint="default" w:ascii="Times New Roman" w:hAnsi="Times New Roman" w:eastAsia="仿宋_GB2312" w:cs="Times New Roman"/>
          <w:color w:val="auto"/>
          <w:kern w:val="2"/>
          <w:sz w:val="32"/>
          <w:szCs w:val="32"/>
        </w:rPr>
        <w:t>〔202</w:t>
      </w:r>
      <w:r>
        <w:rPr>
          <w:rFonts w:hint="default" w:ascii="Times New Roman" w:hAnsi="Times New Roman" w:eastAsia="仿宋_GB2312" w:cs="Times New Roman"/>
          <w:color w:val="auto"/>
          <w:kern w:val="2"/>
          <w:sz w:val="32"/>
          <w:szCs w:val="32"/>
          <w:lang w:val="en-US" w:eastAsia="zh-CN"/>
        </w:rPr>
        <w:t>1</w:t>
      </w:r>
      <w:r>
        <w:rPr>
          <w:rFonts w:hint="default" w:ascii="Times New Roman" w:hAnsi="Times New Roman" w:eastAsia="仿宋_GB2312" w:cs="Times New Roman"/>
          <w:color w:val="auto"/>
          <w:kern w:val="2"/>
          <w:sz w:val="32"/>
          <w:szCs w:val="32"/>
        </w:rPr>
        <w:t>〕</w:t>
      </w:r>
      <w:r>
        <w:rPr>
          <w:rFonts w:hint="eastAsia" w:eastAsia="仿宋_GB2312" w:cs="Times New Roman"/>
          <w:color w:val="auto"/>
          <w:kern w:val="2"/>
          <w:sz w:val="32"/>
          <w:szCs w:val="32"/>
          <w:lang w:val="en-US" w:eastAsia="zh-CN"/>
        </w:rPr>
        <w:t>127</w:t>
      </w:r>
      <w:r>
        <w:rPr>
          <w:rFonts w:hint="default" w:ascii="Times New Roman" w:hAnsi="Times New Roman" w:eastAsia="仿宋_GB2312" w:cs="Times New Roman"/>
          <w:color w:val="auto"/>
          <w:kern w:val="2"/>
          <w:sz w:val="32"/>
          <w:szCs w:val="32"/>
        </w:rPr>
        <w:t>号</w:t>
      </w:r>
    </w:p>
    <w:p>
      <w:pPr>
        <w:keepNext w:val="0"/>
        <w:keepLines w:val="0"/>
        <w:pageBreakBefore w:val="0"/>
        <w:widowControl w:val="0"/>
        <w:kinsoku/>
        <w:wordWrap/>
        <w:topLinePunct w:val="0"/>
        <w:bidi w:val="0"/>
        <w:spacing w:line="594" w:lineRule="exact"/>
        <w:jc w:val="center"/>
        <w:textAlignment w:val="auto"/>
        <w:rPr>
          <w:rFonts w:hint="default" w:ascii="Times New Roman" w:hAnsi="Times New Roman" w:eastAsia="仿宋_GB2312" w:cs="Times New Roman"/>
          <w:color w:val="auto"/>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napToGrid/>
        <w:spacing w:line="594" w:lineRule="exact"/>
        <w:ind w:firstLine="628" w:firstLineChars="200"/>
        <w:textAlignment w:val="auto"/>
        <w:outlineLvl w:val="9"/>
        <w:rPr>
          <w:rFonts w:hint="default" w:ascii="Times New Roman" w:hAnsi="Times New Roman" w:eastAsia="仿宋_GB2312" w:cs="Times New Roman"/>
          <w:color w:val="auto"/>
          <w:kern w:val="2"/>
          <w:sz w:val="32"/>
          <w:szCs w:val="32"/>
        </w:rPr>
      </w:pPr>
      <w:r>
        <w:rPr>
          <w:rFonts w:hint="default" w:ascii="Times New Roman" w:hAnsi="Times New Roman" w:eastAsia="黑体" w:cs="Times New Roman"/>
          <w:color w:val="auto"/>
          <w:kern w:val="2"/>
          <w:sz w:val="32"/>
          <w:szCs w:val="32"/>
        </w:rPr>
        <w:t>当事人：</w:t>
      </w:r>
      <w:r>
        <w:rPr>
          <w:rFonts w:hint="default" w:ascii="Times New Roman" w:hAnsi="Times New Roman" w:eastAsia="仿宋_GB2312" w:cs="Times New Roman"/>
          <w:color w:val="auto"/>
          <w:sz w:val="32"/>
          <w:szCs w:val="36"/>
          <w:lang w:eastAsia="zh-CN"/>
        </w:rPr>
        <w:t>腾讯控股</w:t>
      </w:r>
      <w:r>
        <w:rPr>
          <w:rFonts w:hint="default" w:ascii="Times New Roman" w:hAnsi="Times New Roman" w:eastAsia="仿宋_GB2312" w:cs="Times New Roman"/>
          <w:color w:val="auto"/>
          <w:sz w:val="32"/>
          <w:szCs w:val="36"/>
        </w:rPr>
        <w:t>有限公司</w:t>
      </w:r>
      <w:r>
        <w:rPr>
          <w:rFonts w:hint="default" w:ascii="Times New Roman" w:hAnsi="Times New Roman" w:eastAsia="仿宋_GB2312" w:cs="Times New Roman"/>
          <w:color w:val="auto"/>
          <w:sz w:val="32"/>
          <w:szCs w:val="36"/>
          <w:lang w:eastAsia="zh-CN"/>
        </w:rPr>
        <w:t>（</w:t>
      </w:r>
      <w:r>
        <w:rPr>
          <w:rFonts w:hint="default" w:ascii="Times New Roman" w:hAnsi="Times New Roman" w:eastAsia="仿宋_GB2312" w:cs="Times New Roman"/>
          <w:color w:val="auto"/>
          <w:sz w:val="32"/>
          <w:szCs w:val="36"/>
          <w:lang w:val="en-US" w:eastAsia="zh-CN"/>
        </w:rPr>
        <w:t>Tencent Holdings Limited</w:t>
      </w:r>
      <w:r>
        <w:rPr>
          <w:rFonts w:hint="default" w:ascii="Times New Roman" w:hAnsi="Times New Roman" w:eastAsia="仿宋_GB2312" w:cs="Times New Roman"/>
          <w:color w:val="auto"/>
          <w:sz w:val="32"/>
          <w:szCs w:val="36"/>
          <w:lang w:eastAsia="zh-CN"/>
        </w:rPr>
        <w:t>）</w:t>
      </w:r>
    </w:p>
    <w:p>
      <w:pPr>
        <w:pStyle w:val="3"/>
        <w:keepNext w:val="0"/>
        <w:keepLines w:val="0"/>
        <w:pageBreakBefore w:val="0"/>
        <w:widowControl w:val="0"/>
        <w:kinsoku/>
        <w:wordWrap/>
        <w:topLinePunct w:val="0"/>
        <w:bidi w:val="0"/>
        <w:snapToGrid/>
        <w:spacing w:after="0" w:line="594" w:lineRule="exact"/>
        <w:ind w:firstLine="628" w:firstLineChars="200"/>
        <w:textAlignment w:val="auto"/>
        <w:outlineLvl w:val="9"/>
        <w:rPr>
          <w:rFonts w:hint="default" w:ascii="Times New Roman" w:hAnsi="Times New Roman" w:eastAsia="仿宋_GB2312" w:cs="Times New Roman"/>
          <w:color w:val="auto"/>
          <w:kern w:val="2"/>
          <w:sz w:val="32"/>
          <w:szCs w:val="32"/>
          <w:lang w:val="en-US" w:eastAsia="zh-CN"/>
        </w:rPr>
      </w:pPr>
      <w:r>
        <w:rPr>
          <w:rFonts w:hint="default" w:ascii="Times New Roman" w:hAnsi="Times New Roman" w:eastAsia="黑体" w:cs="Times New Roman"/>
          <w:color w:val="auto"/>
          <w:kern w:val="2"/>
          <w:sz w:val="32"/>
          <w:szCs w:val="32"/>
        </w:rPr>
        <w:t>住 所：</w:t>
      </w:r>
      <w:r>
        <w:rPr>
          <w:rFonts w:hint="default" w:ascii="Times New Roman" w:hAnsi="Times New Roman" w:eastAsia="仿宋_GB2312" w:cs="Times New Roman"/>
          <w:color w:val="auto"/>
          <w:kern w:val="2"/>
          <w:sz w:val="32"/>
          <w:szCs w:val="32"/>
          <w:lang w:val="en-US" w:eastAsia="zh-CN" w:bidi="ar-SA"/>
        </w:rPr>
        <w:t>开曼群岛哈金斯大道克里奇广场2681邮箱（Cricket Square Hutchins Drive P.O.Box 2681 Grand Cayman KYI-1111 Cayman Islands)</w:t>
      </w:r>
      <w:r>
        <w:rPr>
          <w:rFonts w:hint="default" w:ascii="Times New Roman" w:hAnsi="Times New Roman" w:eastAsia="仿宋_GB2312" w:cs="Times New Roman"/>
          <w:color w:val="auto"/>
          <w:sz w:val="32"/>
          <w:szCs w:val="32"/>
          <w:highlight w:val="none"/>
          <w:lang w:val="en-US" w:eastAsia="zh-CN"/>
        </w:rPr>
        <w:t xml:space="preserve">  </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color w:val="auto"/>
          <w:sz w:val="32"/>
          <w:szCs w:val="32"/>
          <w:lang w:eastAsia="zh-CN"/>
        </w:rPr>
      </w:pP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color w:val="auto"/>
          <w:sz w:val="32"/>
          <w:szCs w:val="32"/>
          <w:lang w:eastAsia="zh-CN"/>
        </w:rPr>
        <w:t>根据《中华人民共和国反垄断法》（以下简称《反垄断法》）《经营者集中审查暂行规定》，本</w:t>
      </w:r>
      <w:r>
        <w:rPr>
          <w:rFonts w:hint="default" w:ascii="Times New Roman" w:hAnsi="Times New Roman" w:eastAsia="仿宋_GB2312" w:cs="Times New Roman"/>
          <w:kern w:val="2"/>
          <w:sz w:val="32"/>
          <w:szCs w:val="22"/>
          <w:lang w:val="en-US" w:eastAsia="zh-CN" w:bidi="ar-SA"/>
        </w:rPr>
        <w:t>机关于2021年8月12日对腾讯</w:t>
      </w:r>
      <w:r>
        <w:rPr>
          <w:rFonts w:hint="default" w:ascii="Times New Roman" w:hAnsi="Times New Roman" w:eastAsia="仿宋_GB2312" w:cs="Times New Roman"/>
          <w:sz w:val="32"/>
          <w:szCs w:val="32"/>
          <w:lang w:eastAsia="zh-CN"/>
        </w:rPr>
        <w:t>控股有限公司（</w:t>
      </w:r>
      <w:r>
        <w:rPr>
          <w:rFonts w:hint="default" w:ascii="Times New Roman" w:hAnsi="Times New Roman" w:eastAsia="仿宋_GB2312" w:cs="Times New Roman"/>
          <w:sz w:val="32"/>
          <w:szCs w:val="32"/>
          <w:lang w:val="en-US" w:eastAsia="zh-CN"/>
        </w:rPr>
        <w:t>以下简称腾讯</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kern w:val="2"/>
          <w:sz w:val="32"/>
          <w:szCs w:val="22"/>
          <w:lang w:val="en-US" w:eastAsia="zh-Hans" w:bidi="ar-SA"/>
        </w:rPr>
        <w:t>收购永辉云创科技有限公司</w:t>
      </w:r>
      <w:r>
        <w:rPr>
          <w:rFonts w:hint="default" w:ascii="Times New Roman" w:hAnsi="Times New Roman" w:eastAsia="仿宋_GB2312" w:cs="Times New Roman"/>
          <w:kern w:val="2"/>
          <w:sz w:val="32"/>
          <w:szCs w:val="22"/>
          <w:lang w:val="en-US" w:eastAsia="zh-CN" w:bidi="ar-SA"/>
        </w:rPr>
        <w:t>（以下简称永辉云创）</w:t>
      </w:r>
      <w:r>
        <w:rPr>
          <w:rFonts w:hint="default" w:ascii="Times New Roman" w:hAnsi="Times New Roman" w:eastAsia="仿宋_GB2312" w:cs="Times New Roman"/>
          <w:kern w:val="2"/>
          <w:sz w:val="32"/>
          <w:szCs w:val="22"/>
          <w:lang w:val="en-US" w:eastAsia="zh-Hans" w:bidi="ar-SA"/>
        </w:rPr>
        <w:t>股权</w:t>
      </w:r>
      <w:r>
        <w:rPr>
          <w:rFonts w:hint="default" w:ascii="Times New Roman" w:hAnsi="Times New Roman" w:eastAsia="仿宋_GB2312" w:cs="Times New Roman"/>
          <w:kern w:val="2"/>
          <w:sz w:val="32"/>
          <w:szCs w:val="22"/>
          <w:lang w:val="en-US" w:eastAsia="zh-CN" w:bidi="ar-SA"/>
        </w:rPr>
        <w:t>涉嫌</w:t>
      </w:r>
      <w:r>
        <w:rPr>
          <w:rFonts w:hint="default" w:ascii="Times New Roman" w:hAnsi="Times New Roman" w:eastAsia="仿宋_GB2312" w:cs="Times New Roman"/>
          <w:color w:val="auto"/>
          <w:sz w:val="32"/>
          <w:szCs w:val="32"/>
          <w:lang w:val="en-US" w:eastAsia="zh-CN"/>
        </w:rPr>
        <w:t>未依法申报</w:t>
      </w:r>
      <w:r>
        <w:rPr>
          <w:rFonts w:hint="default" w:ascii="Times New Roman" w:hAnsi="Times New Roman" w:eastAsia="仿宋_GB2312" w:cs="Times New Roman"/>
          <w:kern w:val="2"/>
          <w:sz w:val="32"/>
          <w:szCs w:val="22"/>
          <w:lang w:val="en-US" w:eastAsia="zh-CN" w:bidi="ar-SA"/>
        </w:rPr>
        <w:t>违法实施经营者集中案</w:t>
      </w:r>
      <w:r>
        <w:rPr>
          <w:rFonts w:hint="default" w:ascii="Times New Roman" w:hAnsi="Times New Roman" w:eastAsia="仿宋_GB2312" w:cs="Times New Roman"/>
          <w:color w:val="auto"/>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color w:val="auto"/>
          <w:kern w:val="2"/>
          <w:sz w:val="32"/>
          <w:szCs w:val="32"/>
        </w:rPr>
        <w:t>经查，该案构成</w:t>
      </w:r>
      <w:r>
        <w:rPr>
          <w:rFonts w:hint="default" w:ascii="Times New Roman" w:hAnsi="Times New Roman" w:eastAsia="仿宋_GB2312" w:cs="Times New Roman"/>
          <w:color w:val="auto"/>
          <w:kern w:val="2"/>
          <w:sz w:val="32"/>
          <w:szCs w:val="32"/>
          <w:lang w:eastAsia="zh-CN"/>
        </w:rPr>
        <w:t>未依法申报</w:t>
      </w:r>
      <w:r>
        <w:rPr>
          <w:rFonts w:hint="default" w:ascii="Times New Roman" w:hAnsi="Times New Roman" w:eastAsia="仿宋_GB2312" w:cs="Times New Roman"/>
          <w:color w:val="auto"/>
          <w:kern w:val="2"/>
          <w:sz w:val="32"/>
          <w:szCs w:val="32"/>
        </w:rPr>
        <w:t>违法实施经营者集中，但不具有排除、限制竞争的效果。本机关按照《</w:t>
      </w:r>
      <w:r>
        <w:rPr>
          <w:rFonts w:hint="default" w:ascii="Times New Roman" w:hAnsi="Times New Roman" w:eastAsia="仿宋_GB2312" w:cs="Times New Roman"/>
          <w:color w:val="auto"/>
          <w:kern w:val="2"/>
          <w:sz w:val="32"/>
          <w:szCs w:val="32"/>
          <w:lang w:eastAsia="zh-CN"/>
        </w:rPr>
        <w:t>中华人民共和国</w:t>
      </w:r>
      <w:r>
        <w:rPr>
          <w:rFonts w:hint="default" w:ascii="Times New Roman" w:hAnsi="Times New Roman" w:eastAsia="仿宋_GB2312" w:cs="Times New Roman"/>
          <w:color w:val="auto"/>
          <w:kern w:val="2"/>
          <w:sz w:val="32"/>
          <w:szCs w:val="32"/>
        </w:rPr>
        <w:t>行政处罚法》</w:t>
      </w:r>
      <w:r>
        <w:rPr>
          <w:rFonts w:hint="default" w:ascii="Times New Roman" w:hAnsi="Times New Roman" w:eastAsia="仿宋_GB2312" w:cs="Times New Roman"/>
          <w:color w:val="auto"/>
          <w:sz w:val="32"/>
          <w:szCs w:val="32"/>
          <w:lang w:eastAsia="zh-CN"/>
        </w:rPr>
        <w:t>（以下简称</w:t>
      </w:r>
      <w:r>
        <w:rPr>
          <w:rFonts w:hint="default" w:ascii="Times New Roman" w:hAnsi="Times New Roman" w:eastAsia="仿宋_GB2312" w:cs="Times New Roman"/>
          <w:color w:val="auto"/>
          <w:kern w:val="2"/>
          <w:sz w:val="32"/>
          <w:szCs w:val="32"/>
        </w:rPr>
        <w:t>《行政处罚法》</w:t>
      </w:r>
      <w:r>
        <w:rPr>
          <w:rFonts w:hint="default" w:ascii="Times New Roman" w:hAnsi="Times New Roman" w:eastAsia="仿宋_GB2312" w:cs="Times New Roman"/>
          <w:color w:val="auto"/>
          <w:sz w:val="32"/>
          <w:szCs w:val="32"/>
          <w:lang w:eastAsia="zh-CN"/>
        </w:rPr>
        <w:t>）</w:t>
      </w:r>
      <w:r>
        <w:rPr>
          <w:rFonts w:hint="default" w:ascii="Times New Roman" w:hAnsi="Times New Roman" w:eastAsia="仿宋_GB2312" w:cs="Times New Roman"/>
          <w:color w:val="auto"/>
          <w:kern w:val="2"/>
          <w:sz w:val="32"/>
          <w:szCs w:val="32"/>
        </w:rPr>
        <w:t>的规定，向</w:t>
      </w:r>
      <w:r>
        <w:rPr>
          <w:rFonts w:hint="default" w:ascii="Times New Roman" w:hAnsi="Times New Roman" w:eastAsia="仿宋_GB2312" w:cs="Times New Roman"/>
          <w:color w:val="auto"/>
          <w:sz w:val="32"/>
          <w:lang w:val="en-US" w:eastAsia="zh-CN"/>
        </w:rPr>
        <w:t>腾讯</w:t>
      </w:r>
      <w:r>
        <w:rPr>
          <w:rFonts w:hint="default" w:ascii="Times New Roman" w:hAnsi="Times New Roman" w:eastAsia="仿宋_GB2312" w:cs="Times New Roman"/>
          <w:color w:val="auto"/>
          <w:kern w:val="2"/>
          <w:sz w:val="32"/>
          <w:szCs w:val="32"/>
        </w:rPr>
        <w:t>送达了《行政处罚告知书》，告知</w:t>
      </w:r>
      <w:r>
        <w:rPr>
          <w:rFonts w:hint="default" w:ascii="Times New Roman" w:hAnsi="Times New Roman" w:eastAsia="仿宋_GB2312" w:cs="Times New Roman"/>
          <w:color w:val="auto"/>
          <w:kern w:val="2"/>
          <w:sz w:val="32"/>
          <w:szCs w:val="32"/>
          <w:lang w:eastAsia="zh-CN"/>
        </w:rPr>
        <w:t>当事人</w:t>
      </w:r>
      <w:r>
        <w:rPr>
          <w:rFonts w:hint="default" w:ascii="Times New Roman" w:hAnsi="Times New Roman" w:eastAsia="仿宋_GB2312" w:cs="Times New Roman"/>
          <w:color w:val="auto"/>
          <w:kern w:val="2"/>
          <w:sz w:val="32"/>
          <w:szCs w:val="32"/>
        </w:rPr>
        <w:t>拟作出</w:t>
      </w:r>
      <w:r>
        <w:rPr>
          <w:rFonts w:hint="default" w:ascii="Times New Roman" w:hAnsi="Times New Roman" w:eastAsia="仿宋_GB2312" w:cs="Times New Roman"/>
          <w:color w:val="auto"/>
          <w:kern w:val="2"/>
          <w:sz w:val="32"/>
          <w:szCs w:val="32"/>
          <w:lang w:eastAsia="zh-CN"/>
        </w:rPr>
        <w:t>的</w:t>
      </w:r>
      <w:r>
        <w:rPr>
          <w:rFonts w:hint="default" w:ascii="Times New Roman" w:hAnsi="Times New Roman" w:eastAsia="仿宋_GB2312" w:cs="Times New Roman"/>
          <w:color w:val="auto"/>
          <w:kern w:val="2"/>
          <w:sz w:val="32"/>
          <w:szCs w:val="32"/>
        </w:rPr>
        <w:t>行政处罚</w:t>
      </w:r>
      <w:r>
        <w:rPr>
          <w:rFonts w:hint="default" w:ascii="Times New Roman" w:hAnsi="Times New Roman" w:eastAsia="仿宋_GB2312" w:cs="Times New Roman"/>
          <w:color w:val="auto"/>
          <w:kern w:val="2"/>
          <w:sz w:val="32"/>
          <w:szCs w:val="32"/>
          <w:lang w:eastAsia="zh-CN"/>
        </w:rPr>
        <w:t>内容及</w:t>
      </w:r>
      <w:r>
        <w:rPr>
          <w:rFonts w:hint="default" w:ascii="Times New Roman" w:hAnsi="Times New Roman" w:eastAsia="仿宋_GB2312" w:cs="Times New Roman"/>
          <w:color w:val="auto"/>
          <w:kern w:val="2"/>
          <w:sz w:val="32"/>
          <w:szCs w:val="32"/>
        </w:rPr>
        <w:t>事实、理由、</w:t>
      </w:r>
      <w:r>
        <w:rPr>
          <w:rFonts w:hint="default" w:ascii="Times New Roman" w:hAnsi="Times New Roman" w:eastAsia="仿宋_GB2312" w:cs="Times New Roman"/>
          <w:color w:val="auto"/>
          <w:kern w:val="2"/>
          <w:sz w:val="32"/>
          <w:szCs w:val="32"/>
          <w:lang w:eastAsia="zh-CN"/>
        </w:rPr>
        <w:t>依据</w:t>
      </w:r>
      <w:r>
        <w:rPr>
          <w:rFonts w:hint="default" w:ascii="Times New Roman" w:hAnsi="Times New Roman" w:eastAsia="仿宋_GB2312" w:cs="Times New Roman"/>
          <w:color w:val="auto"/>
          <w:kern w:val="2"/>
          <w:sz w:val="32"/>
          <w:szCs w:val="32"/>
        </w:rPr>
        <w:t>，</w:t>
      </w:r>
      <w:r>
        <w:rPr>
          <w:rFonts w:hint="default" w:ascii="Times New Roman" w:hAnsi="Times New Roman" w:eastAsia="仿宋_GB2312" w:cs="Times New Roman"/>
          <w:color w:val="auto"/>
          <w:kern w:val="2"/>
          <w:sz w:val="32"/>
          <w:szCs w:val="32"/>
          <w:lang w:eastAsia="zh-CN"/>
        </w:rPr>
        <w:t>并告知当事人</w:t>
      </w:r>
      <w:r>
        <w:rPr>
          <w:rFonts w:hint="default" w:ascii="Times New Roman" w:hAnsi="Times New Roman" w:eastAsia="仿宋_GB2312" w:cs="Times New Roman"/>
          <w:color w:val="auto"/>
          <w:kern w:val="2"/>
          <w:sz w:val="32"/>
          <w:szCs w:val="32"/>
        </w:rPr>
        <w:t>依法享有的陈述、申辩</w:t>
      </w:r>
      <w:r>
        <w:rPr>
          <w:rFonts w:hint="default" w:ascii="Times New Roman" w:hAnsi="Times New Roman" w:eastAsia="仿宋_GB2312" w:cs="Times New Roman"/>
          <w:color w:val="auto"/>
          <w:kern w:val="2"/>
          <w:sz w:val="32"/>
          <w:szCs w:val="32"/>
          <w:lang w:eastAsia="zh-CN"/>
        </w:rPr>
        <w:t>、</w:t>
      </w:r>
      <w:r>
        <w:rPr>
          <w:rFonts w:hint="default" w:ascii="Times New Roman" w:hAnsi="Times New Roman" w:eastAsia="仿宋_GB2312" w:cs="Times New Roman"/>
          <w:color w:val="auto"/>
          <w:kern w:val="2"/>
          <w:sz w:val="32"/>
          <w:szCs w:val="32"/>
        </w:rPr>
        <w:t>要求听证</w:t>
      </w:r>
      <w:r>
        <w:rPr>
          <w:rFonts w:hint="default" w:ascii="Times New Roman" w:hAnsi="Times New Roman" w:eastAsia="仿宋_GB2312" w:cs="Times New Roman"/>
          <w:color w:val="auto"/>
          <w:kern w:val="2"/>
          <w:sz w:val="32"/>
          <w:szCs w:val="32"/>
          <w:lang w:eastAsia="zh-CN"/>
        </w:rPr>
        <w:t>的</w:t>
      </w:r>
      <w:r>
        <w:rPr>
          <w:rFonts w:hint="default" w:ascii="Times New Roman" w:hAnsi="Times New Roman" w:eastAsia="仿宋_GB2312" w:cs="Times New Roman"/>
          <w:color w:val="auto"/>
          <w:kern w:val="2"/>
          <w:sz w:val="32"/>
          <w:szCs w:val="32"/>
        </w:rPr>
        <w:t>权</w:t>
      </w:r>
      <w:r>
        <w:rPr>
          <w:rFonts w:hint="default" w:ascii="Times New Roman" w:hAnsi="Times New Roman" w:eastAsia="仿宋_GB2312" w:cs="Times New Roman"/>
          <w:color w:val="auto"/>
          <w:kern w:val="2"/>
          <w:sz w:val="32"/>
          <w:szCs w:val="32"/>
          <w:lang w:eastAsia="zh-CN"/>
        </w:rPr>
        <w:t>利</w:t>
      </w:r>
      <w:r>
        <w:rPr>
          <w:rFonts w:hint="default" w:ascii="Times New Roman" w:hAnsi="Times New Roman" w:eastAsia="仿宋_GB2312" w:cs="Times New Roman"/>
          <w:color w:val="auto"/>
          <w:kern w:val="2"/>
          <w:sz w:val="32"/>
          <w:szCs w:val="32"/>
        </w:rPr>
        <w:t>。</w:t>
      </w:r>
      <w:r>
        <w:rPr>
          <w:rFonts w:hint="default" w:ascii="Times New Roman" w:hAnsi="Times New Roman" w:eastAsia="仿宋_GB2312" w:cs="Times New Roman"/>
          <w:sz w:val="32"/>
        </w:rPr>
        <w:t>腾讯</w:t>
      </w:r>
      <w:r>
        <w:rPr>
          <w:rFonts w:hint="eastAsia" w:eastAsia="仿宋_GB2312" w:cs="Times New Roman"/>
          <w:color w:val="auto"/>
          <w:kern w:val="2"/>
          <w:sz w:val="32"/>
          <w:szCs w:val="32"/>
          <w:lang w:val="en-US" w:eastAsia="zh-CN" w:bidi="ar"/>
        </w:rPr>
        <w:t>书面来函放弃</w:t>
      </w:r>
      <w:r>
        <w:rPr>
          <w:rFonts w:hint="default" w:ascii="Times New Roman" w:hAnsi="Times New Roman" w:eastAsia="仿宋_GB2312" w:cs="Times New Roman"/>
          <w:color w:val="auto"/>
          <w:kern w:val="2"/>
          <w:sz w:val="32"/>
          <w:szCs w:val="32"/>
          <w:lang w:val="en-US" w:eastAsia="zh-CN" w:bidi="ar"/>
        </w:rPr>
        <w:t>陈述、申辩</w:t>
      </w:r>
      <w:r>
        <w:rPr>
          <w:rFonts w:hint="eastAsia" w:eastAsia="仿宋_GB2312" w:cs="Times New Roman"/>
          <w:color w:val="auto"/>
          <w:kern w:val="2"/>
          <w:sz w:val="32"/>
          <w:szCs w:val="32"/>
          <w:lang w:val="en-US" w:eastAsia="zh-CN" w:bidi="ar"/>
        </w:rPr>
        <w:t>和</w:t>
      </w:r>
      <w:r>
        <w:rPr>
          <w:rFonts w:hint="default" w:ascii="Times New Roman" w:hAnsi="Times New Roman" w:eastAsia="仿宋_GB2312" w:cs="Times New Roman"/>
          <w:color w:val="auto"/>
          <w:kern w:val="2"/>
          <w:sz w:val="32"/>
          <w:szCs w:val="32"/>
          <w:lang w:val="en-US" w:eastAsia="zh-CN" w:bidi="ar"/>
        </w:rPr>
        <w:t>要求听证</w:t>
      </w:r>
      <w:r>
        <w:rPr>
          <w:rFonts w:hint="eastAsia" w:eastAsia="仿宋_GB2312" w:cs="Times New Roman"/>
          <w:color w:val="auto"/>
          <w:kern w:val="2"/>
          <w:sz w:val="32"/>
          <w:szCs w:val="32"/>
          <w:lang w:val="en-US" w:eastAsia="zh-CN" w:bidi="ar"/>
        </w:rPr>
        <w:t>的权利</w:t>
      </w:r>
      <w:r>
        <w:rPr>
          <w:rFonts w:hint="default" w:ascii="Times New Roman" w:hAnsi="Times New Roman" w:eastAsia="仿宋_GB2312" w:cs="Times New Roman"/>
          <w:color w:val="auto"/>
          <w:kern w:val="2"/>
          <w:sz w:val="32"/>
          <w:szCs w:val="32"/>
          <w:lang w:val="en-US" w:eastAsia="zh-CN" w:bidi="ar"/>
        </w:rPr>
        <w:t>。</w:t>
      </w:r>
      <w:r>
        <w:rPr>
          <w:rFonts w:hint="default" w:ascii="Times New Roman" w:hAnsi="Times New Roman" w:eastAsia="仿宋_GB2312" w:cs="Times New Roman"/>
          <w:color w:val="auto"/>
          <w:kern w:val="2"/>
          <w:sz w:val="32"/>
          <w:szCs w:val="32"/>
        </w:rPr>
        <w:t>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color w:val="auto"/>
          <w:kern w:val="2"/>
          <w:sz w:val="32"/>
          <w:szCs w:val="32"/>
        </w:rPr>
      </w:pPr>
      <w:r>
        <w:rPr>
          <w:rFonts w:hint="default" w:ascii="Times New Roman" w:hAnsi="Times New Roman" w:eastAsia="黑体" w:cs="Times New Roman"/>
          <w:color w:val="auto"/>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color w:val="auto"/>
          <w:kern w:val="2"/>
          <w:sz w:val="32"/>
          <w:szCs w:val="32"/>
        </w:rPr>
      </w:pPr>
      <w:r>
        <w:rPr>
          <w:rFonts w:hint="default" w:ascii="Times New Roman" w:hAnsi="Times New Roman" w:eastAsia="楷体_GB2312" w:cs="Times New Roman"/>
          <w:color w:val="auto"/>
          <w:kern w:val="2"/>
          <w:sz w:val="32"/>
          <w:szCs w:val="32"/>
        </w:rPr>
        <w:t>（一）交易方。</w:t>
      </w:r>
    </w:p>
    <w:p>
      <w:pPr>
        <w:pStyle w:val="3"/>
        <w:keepNext w:val="0"/>
        <w:keepLines w:val="0"/>
        <w:pageBreakBefore w:val="0"/>
        <w:widowControl w:val="0"/>
        <w:kinsoku/>
        <w:wordWrap/>
        <w:overflowPunct/>
        <w:topLinePunct w:val="0"/>
        <w:autoSpaceDE/>
        <w:autoSpaceDN/>
        <w:bidi w:val="0"/>
        <w:adjustRightInd w:val="0"/>
        <w:snapToGrid w:val="0"/>
        <w:spacing w:after="0" w:line="594" w:lineRule="exact"/>
        <w:ind w:left="0" w:firstLine="628" w:firstLineChars="200"/>
        <w:jc w:val="both"/>
        <w:textAlignment w:val="auto"/>
        <w:outlineLvl w:val="9"/>
        <w:rPr>
          <w:rFonts w:hint="default" w:ascii="Times New Roman" w:hAnsi="Times New Roman" w:eastAsia="仿宋_GB2312" w:cs="Times New Roman"/>
          <w:color w:val="000000"/>
          <w:sz w:val="32"/>
          <w:lang w:val="en-US" w:eastAsia="zh-CN"/>
        </w:rPr>
      </w:pPr>
      <w:r>
        <w:rPr>
          <w:rFonts w:hint="default" w:ascii="Times New Roman" w:hAnsi="Times New Roman" w:eastAsia="仿宋_GB2312" w:cs="Times New Roman"/>
          <w:b/>
          <w:bCs/>
          <w:color w:val="000000"/>
          <w:sz w:val="32"/>
          <w:lang w:val="en-US" w:eastAsia="zh-CN"/>
        </w:rPr>
        <w:t>收购方：腾讯。</w:t>
      </w:r>
      <w:r>
        <w:rPr>
          <w:rFonts w:hint="default" w:ascii="Times New Roman" w:hAnsi="Times New Roman" w:eastAsia="仿宋_GB2312" w:cs="Times New Roman"/>
          <w:color w:val="000000"/>
          <w:sz w:val="32"/>
          <w:lang w:val="en-US" w:eastAsia="zh-CN"/>
        </w:rPr>
        <w:t>1999年11月在英属维尔京群岛注册成立，2004年2月迁册至英属开曼群岛，2004年6月在香港联交所上市，通过协议控制境内运营实体深圳市腾讯计算机系统有限公司，主要业务为社交和通信服务、社交网络平台、游戏、网络视频服务、互动娱乐直播等</w:t>
      </w:r>
      <w:r>
        <w:rPr>
          <w:rFonts w:hint="eastAsia" w:ascii="Times New Roman" w:hAnsi="Times New Roman" w:eastAsia="仿宋_GB2312" w:cs="Times New Roman"/>
          <w:color w:val="000000"/>
          <w:sz w:val="32"/>
          <w:lang w:val="en-US" w:eastAsia="zh-CN"/>
        </w:rPr>
        <w:t>。</w:t>
      </w:r>
      <w:r>
        <w:rPr>
          <w:rFonts w:hint="default" w:ascii="Times New Roman" w:hAnsi="Times New Roman" w:eastAsia="仿宋_GB2312" w:cs="Times New Roman"/>
          <w:color w:val="000000"/>
          <w:sz w:val="32"/>
          <w:lang w:val="en-US" w:eastAsia="zh-CN"/>
        </w:rPr>
        <w:t>腾讯2017年全球</w:t>
      </w:r>
      <w:r>
        <w:rPr>
          <w:rFonts w:hint="eastAsia" w:ascii="Times New Roman" w:hAnsi="Times New Roman" w:eastAsia="仿宋_GB2312" w:cs="Times New Roman"/>
          <w:color w:val="000000"/>
          <w:sz w:val="32"/>
          <w:lang w:val="en-US" w:eastAsia="zh-CN"/>
        </w:rPr>
        <w:t>营业额为（略），</w:t>
      </w:r>
      <w:r>
        <w:rPr>
          <w:rFonts w:hint="default" w:ascii="Times New Roman" w:hAnsi="Times New Roman" w:eastAsia="仿宋_GB2312" w:cs="Times New Roman"/>
          <w:color w:val="000000"/>
          <w:sz w:val="32"/>
          <w:lang w:val="en-US" w:eastAsia="zh-CN"/>
        </w:rPr>
        <w:t>中国境内营业额</w:t>
      </w:r>
      <w:r>
        <w:rPr>
          <w:rFonts w:hint="eastAsia" w:ascii="Times New Roman" w:hAnsi="Times New Roman" w:eastAsia="仿宋_GB2312" w:cs="Times New Roman"/>
          <w:color w:val="000000"/>
          <w:sz w:val="32"/>
          <w:lang w:val="en-US" w:eastAsia="zh-CN"/>
        </w:rPr>
        <w:t>为（略）</w:t>
      </w:r>
      <w:r>
        <w:rPr>
          <w:rFonts w:hint="default" w:ascii="Times New Roman" w:hAnsi="Times New Roman" w:eastAsia="仿宋_GB2312" w:cs="Times New Roman"/>
          <w:color w:val="000000"/>
          <w:sz w:val="32"/>
          <w:lang w:val="en-US" w:eastAsia="zh-CN"/>
        </w:rPr>
        <w:t>。</w:t>
      </w:r>
    </w:p>
    <w:p>
      <w:pPr>
        <w:pStyle w:val="3"/>
        <w:keepNext w:val="0"/>
        <w:keepLines w:val="0"/>
        <w:pageBreakBefore w:val="0"/>
        <w:kinsoku/>
        <w:wordWrap/>
        <w:topLinePunct w:val="0"/>
        <w:bidi w:val="0"/>
        <w:spacing w:after="0" w:line="594" w:lineRule="exact"/>
        <w:ind w:left="0" w:leftChars="0" w:firstLine="628" w:firstLineChars="200"/>
        <w:textAlignment w:val="auto"/>
        <w:rPr>
          <w:rFonts w:hint="default" w:ascii="Times New Roman" w:hAnsi="Times New Roman" w:eastAsia="仿宋_GB2312" w:cs="Times New Roman"/>
          <w:color w:val="000000"/>
          <w:sz w:val="32"/>
          <w:highlight w:val="none"/>
          <w:lang w:val="en-US" w:eastAsia="zh-CN"/>
        </w:rPr>
      </w:pPr>
      <w:r>
        <w:rPr>
          <w:rFonts w:hint="default" w:ascii="Times New Roman" w:hAnsi="Times New Roman" w:eastAsia="仿宋_GB2312" w:cs="Times New Roman"/>
          <w:b/>
          <w:sz w:val="32"/>
          <w:szCs w:val="32"/>
          <w:lang w:eastAsia="zh-CN"/>
        </w:rPr>
        <w:t>被收购方</w:t>
      </w:r>
      <w:r>
        <w:rPr>
          <w:rFonts w:hint="default" w:ascii="Times New Roman" w:hAnsi="Times New Roman" w:eastAsia="仿宋_GB2312" w:cs="Times New Roman"/>
          <w:b/>
          <w:sz w:val="32"/>
          <w:szCs w:val="32"/>
        </w:rPr>
        <w:t>：</w:t>
      </w:r>
      <w:r>
        <w:rPr>
          <w:rFonts w:hint="default" w:ascii="Times New Roman" w:hAnsi="Times New Roman" w:eastAsia="仿宋_GB2312" w:cs="Times New Roman"/>
          <w:b/>
          <w:sz w:val="32"/>
          <w:szCs w:val="32"/>
          <w:lang w:eastAsia="zh-CN"/>
        </w:rPr>
        <w:t>永辉云创</w:t>
      </w:r>
      <w:r>
        <w:rPr>
          <w:rFonts w:hint="default" w:ascii="Times New Roman" w:hAnsi="Times New Roman" w:eastAsia="仿宋_GB2312" w:cs="Times New Roman"/>
          <w:color w:val="000000"/>
          <w:kern w:val="2"/>
          <w:sz w:val="32"/>
          <w:szCs w:val="22"/>
          <w:lang w:val="en-US" w:eastAsia="zh-CN" w:bidi="ar-SA"/>
        </w:rPr>
        <w:t>。</w:t>
      </w:r>
      <w:r>
        <w:rPr>
          <w:rFonts w:hint="default" w:ascii="Times New Roman" w:hAnsi="Times New Roman" w:eastAsia="仿宋_GB2312" w:cs="Times New Roman"/>
          <w:color w:val="000000"/>
          <w:sz w:val="32"/>
          <w:lang w:val="en-US" w:eastAsia="zh-CN"/>
        </w:rPr>
        <w:t>2015年于上海市成立</w:t>
      </w:r>
      <w:r>
        <w:rPr>
          <w:rFonts w:hint="default" w:ascii="Times New Roman" w:hAnsi="Times New Roman" w:eastAsia="仿宋_GB2312" w:cs="Times New Roman"/>
          <w:color w:val="000000"/>
          <w:kern w:val="2"/>
          <w:sz w:val="32"/>
          <w:szCs w:val="22"/>
          <w:lang w:val="en-US" w:eastAsia="zh-CN" w:bidi="ar-SA"/>
        </w:rPr>
        <w:t>，最终控制人为永</w:t>
      </w:r>
      <w:r>
        <w:rPr>
          <w:rFonts w:hint="default" w:ascii="Times New Roman" w:hAnsi="Times New Roman" w:eastAsia="仿宋_GB2312" w:cs="Times New Roman"/>
          <w:color w:val="000000"/>
          <w:sz w:val="32"/>
          <w:lang w:val="en-US" w:eastAsia="zh-CN"/>
        </w:rPr>
        <w:t>辉超市股份有限公司（以下简称永辉股份）</w:t>
      </w:r>
      <w:r>
        <w:rPr>
          <w:rFonts w:hint="default" w:ascii="Times New Roman" w:hAnsi="Times New Roman" w:eastAsia="仿宋_GB2312" w:cs="Times New Roman"/>
          <w:color w:val="000000"/>
          <w:kern w:val="2"/>
          <w:sz w:val="32"/>
          <w:szCs w:val="22"/>
          <w:lang w:val="en-US" w:eastAsia="zh-CN" w:bidi="ar-SA"/>
        </w:rPr>
        <w:t>，主要从事生鲜零售业</w:t>
      </w:r>
      <w:r>
        <w:rPr>
          <w:rFonts w:hint="default" w:ascii="Times New Roman" w:hAnsi="Times New Roman" w:eastAsia="仿宋_GB2312" w:cs="Times New Roman"/>
          <w:color w:val="000000"/>
          <w:sz w:val="32"/>
          <w:lang w:val="en-US" w:eastAsia="zh-CN"/>
        </w:rPr>
        <w:t>务。永辉云创2017年全球</w:t>
      </w:r>
      <w:r>
        <w:rPr>
          <w:rFonts w:hint="eastAsia" w:ascii="Times New Roman" w:hAnsi="Times New Roman" w:eastAsia="仿宋_GB2312" w:cs="Times New Roman"/>
          <w:color w:val="000000"/>
          <w:sz w:val="32"/>
          <w:lang w:val="en-US" w:eastAsia="zh-CN"/>
        </w:rPr>
        <w:t>营业额为（略），</w:t>
      </w:r>
      <w:r>
        <w:rPr>
          <w:rFonts w:hint="default" w:ascii="Times New Roman" w:hAnsi="Times New Roman" w:eastAsia="仿宋_GB2312" w:cs="Times New Roman"/>
          <w:color w:val="000000"/>
          <w:sz w:val="32"/>
          <w:lang w:val="en-US" w:eastAsia="zh-CN"/>
        </w:rPr>
        <w:t>中国境内营业额</w:t>
      </w:r>
      <w:r>
        <w:rPr>
          <w:rFonts w:hint="eastAsia" w:ascii="Times New Roman" w:hAnsi="Times New Roman" w:eastAsia="仿宋_GB2312" w:cs="Times New Roman"/>
          <w:color w:val="000000"/>
          <w:sz w:val="32"/>
          <w:lang w:val="en-US" w:eastAsia="zh-CN"/>
        </w:rPr>
        <w:t>为（略）</w:t>
      </w:r>
      <w:r>
        <w:rPr>
          <w:rFonts w:hint="default" w:ascii="Times New Roman" w:hAnsi="Times New Roman" w:eastAsia="仿宋_GB2312" w:cs="Times New Roman"/>
          <w:color w:val="000000"/>
          <w:sz w:val="32"/>
          <w:highlight w:val="none"/>
          <w:lang w:val="en-US" w:eastAsia="zh-CN"/>
        </w:rPr>
        <w:t>。</w:t>
      </w:r>
    </w:p>
    <w:p>
      <w:pPr>
        <w:pStyle w:val="3"/>
        <w:keepNext w:val="0"/>
        <w:keepLines w:val="0"/>
        <w:pageBreakBefore w:val="0"/>
        <w:kinsoku/>
        <w:wordWrap/>
        <w:topLinePunct w:val="0"/>
        <w:bidi w:val="0"/>
        <w:spacing w:after="0" w:line="594" w:lineRule="exact"/>
        <w:ind w:left="0" w:leftChars="0" w:firstLine="628" w:firstLineChars="200"/>
        <w:textAlignment w:val="auto"/>
        <w:rPr>
          <w:rFonts w:hint="default" w:ascii="Times New Roman" w:hAnsi="Times New Roman" w:eastAsia="仿宋_GB2312" w:cs="Times New Roman"/>
          <w:color w:val="000000"/>
          <w:kern w:val="2"/>
          <w:sz w:val="32"/>
          <w:szCs w:val="22"/>
          <w:lang w:val="en-US" w:eastAsia="zh-CN" w:bidi="ar-SA"/>
        </w:rPr>
      </w:pPr>
      <w:r>
        <w:rPr>
          <w:rFonts w:hint="default" w:ascii="Times New Roman" w:hAnsi="Times New Roman" w:eastAsia="仿宋_GB2312" w:cs="Times New Roman"/>
          <w:b/>
          <w:kern w:val="2"/>
          <w:sz w:val="32"/>
          <w:szCs w:val="32"/>
          <w:lang w:val="en-US" w:eastAsia="zh-CN" w:bidi="ar-SA"/>
        </w:rPr>
        <w:t>目标公司其他股东：</w:t>
      </w:r>
      <w:r>
        <w:rPr>
          <w:rFonts w:hint="default" w:ascii="Times New Roman" w:hAnsi="Times New Roman" w:eastAsia="仿宋_GB2312" w:cs="Times New Roman"/>
          <w:b/>
          <w:bCs/>
          <w:color w:val="000000"/>
          <w:sz w:val="32"/>
          <w:lang w:val="en-US" w:eastAsia="zh-CN"/>
        </w:rPr>
        <w:t>永辉股份</w:t>
      </w:r>
      <w:r>
        <w:rPr>
          <w:rFonts w:hint="default" w:ascii="Times New Roman" w:hAnsi="Times New Roman" w:eastAsia="仿宋_GB2312" w:cs="Times New Roman"/>
          <w:color w:val="000000"/>
          <w:sz w:val="32"/>
          <w:lang w:val="en-US" w:eastAsia="zh-CN"/>
        </w:rPr>
        <w:t>。2001年于福建省成立，2010年在上海证券交易所上市交易，无最终控制人。主要从事零售商超的相关业务。</w:t>
      </w:r>
      <w:r>
        <w:rPr>
          <w:rFonts w:hint="default" w:ascii="Times New Roman" w:hAnsi="Times New Roman" w:eastAsia="仿宋_GB2312" w:cs="Times New Roman"/>
          <w:color w:val="000000"/>
          <w:sz w:val="32"/>
          <w:highlight w:val="none"/>
          <w:lang w:val="en-US" w:eastAsia="zh-CN"/>
        </w:rPr>
        <w:t>永辉股份</w:t>
      </w:r>
      <w:r>
        <w:rPr>
          <w:rFonts w:hint="default" w:ascii="Times New Roman" w:hAnsi="Times New Roman" w:eastAsia="仿宋_GB2312" w:cs="Times New Roman"/>
          <w:color w:val="000000"/>
          <w:sz w:val="32"/>
          <w:lang w:val="en-US" w:eastAsia="zh-CN"/>
        </w:rPr>
        <w:t>2017</w:t>
      </w:r>
      <w:r>
        <w:rPr>
          <w:rFonts w:hint="default" w:ascii="Times New Roman" w:hAnsi="Times New Roman" w:eastAsia="仿宋_GB2312" w:cs="Times New Roman"/>
          <w:color w:val="000000"/>
          <w:sz w:val="32"/>
          <w:highlight w:val="none"/>
          <w:lang w:val="en-US" w:eastAsia="zh-CN"/>
        </w:rPr>
        <w:t>年全球</w:t>
      </w:r>
      <w:r>
        <w:rPr>
          <w:rFonts w:hint="eastAsia" w:ascii="Times New Roman" w:hAnsi="Times New Roman" w:eastAsia="仿宋_GB2312" w:cs="Times New Roman"/>
          <w:color w:val="000000"/>
          <w:sz w:val="32"/>
          <w:highlight w:val="none"/>
          <w:lang w:val="en-US" w:eastAsia="zh-CN"/>
        </w:rPr>
        <w:t>营业额为（略），</w:t>
      </w:r>
      <w:r>
        <w:rPr>
          <w:rFonts w:hint="default" w:ascii="Times New Roman" w:hAnsi="Times New Roman" w:eastAsia="仿宋_GB2312" w:cs="Times New Roman"/>
          <w:color w:val="000000"/>
          <w:sz w:val="32"/>
          <w:highlight w:val="none"/>
          <w:lang w:val="en-US" w:eastAsia="zh-CN"/>
        </w:rPr>
        <w:t>中国境内营业额</w:t>
      </w:r>
      <w:r>
        <w:rPr>
          <w:rFonts w:hint="eastAsia" w:ascii="Times New Roman" w:hAnsi="Times New Roman" w:eastAsia="仿宋_GB2312" w:cs="Times New Roman"/>
          <w:color w:val="000000"/>
          <w:sz w:val="32"/>
          <w:lang w:val="en-US" w:eastAsia="zh-CN"/>
        </w:rPr>
        <w:t>为（略）</w:t>
      </w:r>
      <w:r>
        <w:rPr>
          <w:rFonts w:hint="default" w:ascii="Times New Roman" w:hAnsi="Times New Roman" w:eastAsia="仿宋_GB2312" w:cs="Times New Roman"/>
          <w:color w:val="000000"/>
          <w:sz w:val="32"/>
          <w:highlight w:val="none"/>
          <w:lang w:val="en-US" w:eastAsia="zh-CN"/>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color w:val="auto"/>
          <w:kern w:val="2"/>
          <w:sz w:val="32"/>
          <w:szCs w:val="32"/>
        </w:rPr>
      </w:pPr>
      <w:r>
        <w:rPr>
          <w:rFonts w:hint="default" w:ascii="Times New Roman" w:hAnsi="Times New Roman" w:eastAsia="楷体_GB2312" w:cs="Times New Roman"/>
          <w:color w:val="auto"/>
          <w:kern w:val="2"/>
          <w:sz w:val="32"/>
          <w:szCs w:val="32"/>
        </w:rPr>
        <w:t>（二）交易概况。</w:t>
      </w:r>
    </w:p>
    <w:p>
      <w:pPr>
        <w:keepNext w:val="0"/>
        <w:keepLines w:val="0"/>
        <w:pageBreakBefore w:val="0"/>
        <w:widowControl/>
        <w:kinsoku/>
        <w:wordWrap/>
        <w:topLinePunct w:val="0"/>
        <w:bidi w:val="0"/>
        <w:spacing w:line="594" w:lineRule="exact"/>
        <w:ind w:firstLine="628" w:firstLineChars="200"/>
        <w:jc w:val="left"/>
        <w:textAlignment w:val="auto"/>
        <w:outlineLvl w:val="9"/>
        <w:rPr>
          <w:rFonts w:hint="default" w:ascii="Times New Roman" w:hAnsi="Times New Roman" w:eastAsia="仿宋_GB2312" w:cs="Times New Roman"/>
          <w:b w:val="0"/>
          <w:bCs w:val="0"/>
          <w:kern w:val="2"/>
          <w:sz w:val="32"/>
          <w:szCs w:val="32"/>
          <w:lang w:val="en-US" w:eastAsia="zh-CN" w:bidi="ar-SA"/>
        </w:rPr>
      </w:pPr>
      <w:r>
        <w:rPr>
          <w:rFonts w:hint="default" w:ascii="Times New Roman" w:hAnsi="Times New Roman" w:eastAsia="仿宋_GB2312" w:cs="Times New Roman"/>
          <w:bCs/>
          <w:color w:val="auto"/>
          <w:kern w:val="2"/>
          <w:sz w:val="32"/>
          <w:szCs w:val="32"/>
          <w:lang w:val="en-US" w:eastAsia="zh-CN" w:bidi="ar-SA"/>
        </w:rPr>
        <w:t>本交易系股权收购。</w:t>
      </w:r>
      <w:r>
        <w:rPr>
          <w:rFonts w:hint="default" w:ascii="Times New Roman" w:hAnsi="Times New Roman" w:eastAsia="仿宋_GB2312" w:cs="Times New Roman"/>
          <w:color w:val="000000"/>
          <w:kern w:val="2"/>
          <w:sz w:val="32"/>
          <w:szCs w:val="22"/>
          <w:lang w:val="en-US" w:eastAsia="zh-CN" w:bidi="ar-SA"/>
        </w:rPr>
        <w:t>2018年2月1日，腾讯通过子公司林芝腾讯科技有限公司与永辉云创、永辉股份等签署《中外合资经营企业合同》，认购永辉云创15%的股权，并取得共同控制权。2018年3月23日</w:t>
      </w:r>
      <w:r>
        <w:rPr>
          <w:rFonts w:hint="eastAsia" w:eastAsia="仿宋_GB2312" w:cs="Times New Roman"/>
          <w:color w:val="000000"/>
          <w:kern w:val="2"/>
          <w:sz w:val="32"/>
          <w:szCs w:val="22"/>
          <w:lang w:val="en-US" w:eastAsia="zh-CN" w:bidi="ar-SA"/>
        </w:rPr>
        <w:t>，</w:t>
      </w:r>
      <w:r>
        <w:rPr>
          <w:rFonts w:hint="default" w:ascii="Times New Roman" w:hAnsi="Times New Roman" w:eastAsia="仿宋_GB2312" w:cs="Times New Roman"/>
          <w:color w:val="000000"/>
          <w:kern w:val="2"/>
          <w:sz w:val="32"/>
          <w:szCs w:val="22"/>
          <w:lang w:val="en-US" w:eastAsia="zh-CN" w:bidi="ar-SA"/>
        </w:rPr>
        <w:t>完成股权变更登记。</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color w:val="auto"/>
          <w:kern w:val="2"/>
          <w:sz w:val="32"/>
          <w:szCs w:val="32"/>
        </w:rPr>
      </w:pPr>
      <w:r>
        <w:rPr>
          <w:rFonts w:hint="default" w:ascii="Times New Roman" w:hAnsi="Times New Roman" w:eastAsia="黑体" w:cs="Times New Roman"/>
          <w:color w:val="auto"/>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color w:val="auto"/>
          <w:kern w:val="2"/>
          <w:sz w:val="32"/>
          <w:szCs w:val="32"/>
        </w:rPr>
      </w:pPr>
      <w:r>
        <w:rPr>
          <w:rFonts w:hint="default" w:ascii="Times New Roman" w:hAnsi="Times New Roman" w:eastAsia="楷体_GB2312" w:cs="Times New Roman"/>
          <w:color w:val="auto"/>
          <w:kern w:val="2"/>
          <w:sz w:val="32"/>
          <w:szCs w:val="32"/>
        </w:rPr>
        <w:t>（一）本案构成未依法申报违法实施的经营者集中。</w:t>
      </w:r>
    </w:p>
    <w:p>
      <w:pPr>
        <w:keepNext w:val="0"/>
        <w:keepLines w:val="0"/>
        <w:pageBreakBefore w:val="0"/>
        <w:widowControl w:val="0"/>
        <w:kinsoku/>
        <w:wordWrap/>
        <w:topLinePunct w:val="0"/>
        <w:bidi w:val="0"/>
        <w:spacing w:line="594" w:lineRule="exact"/>
        <w:ind w:firstLine="628" w:firstLineChars="200"/>
        <w:jc w:val="both"/>
        <w:textAlignment w:val="auto"/>
        <w:rPr>
          <w:rFonts w:hint="default" w:ascii="Times New Roman" w:hAnsi="Times New Roman" w:eastAsia="仿宋_GB2312" w:cs="Times New Roman"/>
          <w:bCs/>
          <w:sz w:val="32"/>
          <w:szCs w:val="36"/>
          <w:lang w:eastAsia="zh-CN"/>
        </w:rPr>
      </w:pPr>
      <w:r>
        <w:rPr>
          <w:rFonts w:hint="default" w:ascii="Times New Roman" w:hAnsi="Times New Roman" w:eastAsia="仿宋_GB2312" w:cs="Times New Roman"/>
          <w:color w:val="auto"/>
          <w:sz w:val="32"/>
          <w:szCs w:val="32"/>
          <w:lang w:eastAsia="zh-CN"/>
        </w:rPr>
        <w:t>根据</w:t>
      </w:r>
      <w:r>
        <w:rPr>
          <w:rFonts w:hint="default" w:ascii="Times New Roman" w:hAnsi="Times New Roman" w:eastAsia="仿宋_GB2312" w:cs="Times New Roman"/>
          <w:color w:val="auto"/>
          <w:sz w:val="32"/>
          <w:szCs w:val="32"/>
        </w:rPr>
        <w:t>《反垄断法》第二十条</w:t>
      </w:r>
      <w:r>
        <w:rPr>
          <w:rFonts w:hint="default" w:ascii="Times New Roman" w:hAnsi="Times New Roman" w:eastAsia="仿宋_GB2312" w:cs="Times New Roman"/>
          <w:color w:val="auto"/>
          <w:sz w:val="32"/>
          <w:szCs w:val="32"/>
          <w:lang w:eastAsia="zh-CN"/>
        </w:rPr>
        <w:t>规定</w:t>
      </w:r>
      <w:r>
        <w:rPr>
          <w:rFonts w:hint="default" w:ascii="Times New Roman" w:hAnsi="Times New Roman" w:eastAsia="仿宋_GB2312" w:cs="Times New Roman"/>
          <w:color w:val="auto"/>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default" w:ascii="Times New Roman" w:hAnsi="Times New Roman" w:eastAsia="仿宋_GB2312" w:cs="Times New Roman"/>
          <w:color w:val="000000"/>
          <w:kern w:val="2"/>
          <w:sz w:val="32"/>
          <w:szCs w:val="22"/>
          <w:lang w:val="en-US" w:eastAsia="zh-CN" w:bidi="ar-SA"/>
        </w:rPr>
        <w:t>2018年3月23日</w:t>
      </w:r>
      <w:r>
        <w:rPr>
          <w:rFonts w:hint="default" w:ascii="Times New Roman" w:hAnsi="Times New Roman" w:eastAsia="仿宋_GB2312" w:cs="Times New Roman"/>
          <w:b w:val="0"/>
          <w:bCs w:val="0"/>
          <w:kern w:val="2"/>
          <w:sz w:val="32"/>
          <w:szCs w:val="32"/>
          <w:lang w:val="en-US" w:eastAsia="zh-CN" w:bidi="ar-SA"/>
        </w:rPr>
        <w:t>，</w:t>
      </w:r>
      <w:r>
        <w:rPr>
          <w:rFonts w:hint="default" w:ascii="Times New Roman" w:hAnsi="Times New Roman" w:eastAsia="仿宋_GB2312" w:cs="Times New Roman"/>
          <w:bCs/>
          <w:sz w:val="32"/>
          <w:szCs w:val="32"/>
          <w:lang w:val="en-US" w:eastAsia="zh-CN"/>
        </w:rPr>
        <w:t>腾讯取得永辉云创</w:t>
      </w:r>
      <w:r>
        <w:rPr>
          <w:rFonts w:hint="default" w:ascii="Times New Roman" w:hAnsi="Times New Roman" w:eastAsia="仿宋_GB2312" w:cs="Times New Roman"/>
          <w:color w:val="000000"/>
          <w:kern w:val="2"/>
          <w:sz w:val="32"/>
          <w:szCs w:val="22"/>
          <w:lang w:val="en-US" w:eastAsia="zh-CN" w:bidi="ar-SA"/>
        </w:rPr>
        <w:t>15%</w:t>
      </w:r>
      <w:r>
        <w:rPr>
          <w:rFonts w:hint="default" w:ascii="Times New Roman" w:hAnsi="Times New Roman" w:eastAsia="仿宋_GB2312" w:cs="Times New Roman"/>
          <w:bCs/>
          <w:sz w:val="32"/>
          <w:szCs w:val="32"/>
          <w:lang w:val="en-US" w:eastAsia="zh-CN"/>
        </w:rPr>
        <w:t>股权，取得</w:t>
      </w:r>
      <w:r>
        <w:rPr>
          <w:rFonts w:hint="default" w:ascii="Times New Roman" w:hAnsi="Times New Roman" w:eastAsia="仿宋_GB2312" w:cs="Times New Roman"/>
          <w:bCs/>
          <w:sz w:val="32"/>
          <w:szCs w:val="36"/>
        </w:rPr>
        <w:t>共同控制权</w:t>
      </w:r>
      <w:r>
        <w:rPr>
          <w:rFonts w:hint="default" w:ascii="Times New Roman" w:hAnsi="Times New Roman" w:eastAsia="仿宋_GB2312" w:cs="Times New Roman"/>
          <w:bCs/>
          <w:sz w:val="32"/>
          <w:szCs w:val="36"/>
          <w:lang w:eastAsia="zh-CN"/>
        </w:rPr>
        <w:t>，属于《反垄断法》第二十条规定的经营者集中。</w:t>
      </w:r>
    </w:p>
    <w:p>
      <w:pPr>
        <w:pStyle w:val="9"/>
        <w:keepNext w:val="0"/>
        <w:keepLines w:val="0"/>
        <w:pageBreakBefore w:val="0"/>
        <w:widowControl w:val="0"/>
        <w:kinsoku/>
        <w:wordWrap/>
        <w:topLinePunct w:val="0"/>
        <w:bidi w:val="0"/>
        <w:adjustRightInd w:val="0"/>
        <w:spacing w:line="594" w:lineRule="exact"/>
        <w:ind w:left="0" w:firstLine="643"/>
        <w:textAlignment w:val="auto"/>
        <w:rPr>
          <w:rFonts w:hint="default" w:ascii="Times New Roman" w:hAnsi="Times New Roman" w:eastAsia="仿宋_GB2312" w:cs="Times New Roman"/>
          <w:bCs/>
          <w:kern w:val="2"/>
          <w:sz w:val="32"/>
          <w:szCs w:val="36"/>
          <w:lang w:val="en-US" w:eastAsia="zh-CN" w:bidi="ar-SA"/>
        </w:rPr>
      </w:pPr>
      <w:r>
        <w:rPr>
          <w:rFonts w:hint="default" w:ascii="Times New Roman" w:hAnsi="Times New Roman" w:eastAsia="仿宋_GB2312" w:cs="Times New Roman"/>
          <w:bCs/>
          <w:kern w:val="2"/>
          <w:sz w:val="32"/>
          <w:szCs w:val="36"/>
          <w:lang w:val="en-US" w:eastAsia="zh-CN" w:bidi="ar-SA"/>
        </w:rPr>
        <w:t>2017年</w:t>
      </w:r>
      <w:r>
        <w:rPr>
          <w:rFonts w:hint="eastAsia" w:ascii="Times New Roman" w:hAnsi="Times New Roman" w:cs="Times New Roman"/>
          <w:bCs/>
          <w:kern w:val="2"/>
          <w:sz w:val="32"/>
          <w:szCs w:val="36"/>
          <w:lang w:val="en-US" w:eastAsia="zh-CN" w:bidi="ar-SA"/>
        </w:rPr>
        <w:t>度，</w:t>
      </w:r>
      <w:r>
        <w:rPr>
          <w:rFonts w:hint="default" w:ascii="Times New Roman" w:hAnsi="Times New Roman" w:eastAsia="仿宋_GB2312" w:cs="Times New Roman"/>
          <w:bCs/>
          <w:kern w:val="2"/>
          <w:sz w:val="32"/>
          <w:szCs w:val="36"/>
          <w:lang w:val="en-US" w:eastAsia="zh-CN" w:bidi="ar-SA"/>
        </w:rPr>
        <w:t>腾讯全球</w:t>
      </w:r>
      <w:r>
        <w:rPr>
          <w:rFonts w:hint="eastAsia" w:ascii="Times New Roman" w:hAnsi="Times New Roman" w:cs="Times New Roman"/>
          <w:bCs/>
          <w:kern w:val="2"/>
          <w:sz w:val="32"/>
          <w:szCs w:val="36"/>
          <w:lang w:val="en-US" w:eastAsia="zh-CN" w:bidi="ar-SA"/>
        </w:rPr>
        <w:t>营业额为</w:t>
      </w:r>
      <w:r>
        <w:rPr>
          <w:rFonts w:hint="eastAsia" w:ascii="Times New Roman" w:hAnsi="Times New Roman" w:eastAsia="仿宋_GB2312" w:cs="Times New Roman"/>
          <w:color w:val="000000"/>
          <w:sz w:val="32"/>
          <w:lang w:val="en-US" w:eastAsia="zh-CN"/>
        </w:rPr>
        <w:t>（略）</w:t>
      </w:r>
      <w:r>
        <w:rPr>
          <w:rFonts w:hint="eastAsia" w:ascii="Times New Roman" w:hAnsi="Times New Roman" w:cs="Times New Roman"/>
          <w:color w:val="000000"/>
          <w:sz w:val="32"/>
          <w:lang w:val="en-US" w:eastAsia="zh-CN"/>
        </w:rPr>
        <w:t>，</w:t>
      </w:r>
      <w:r>
        <w:rPr>
          <w:rFonts w:hint="default" w:ascii="Times New Roman" w:hAnsi="Times New Roman" w:eastAsia="仿宋_GB2312" w:cs="Times New Roman"/>
          <w:bCs/>
          <w:kern w:val="2"/>
          <w:sz w:val="32"/>
          <w:szCs w:val="36"/>
          <w:lang w:val="en-US" w:eastAsia="zh-CN" w:bidi="ar-SA"/>
        </w:rPr>
        <w:t>中国境内营业额</w:t>
      </w:r>
      <w:r>
        <w:rPr>
          <w:rFonts w:hint="eastAsia" w:ascii="Times New Roman" w:hAnsi="Times New Roman" w:cs="Times New Roman"/>
          <w:color w:val="000000"/>
          <w:sz w:val="32"/>
          <w:lang w:val="en-US" w:eastAsia="zh-CN"/>
        </w:rPr>
        <w:t>为</w:t>
      </w:r>
      <w:r>
        <w:rPr>
          <w:rFonts w:hint="eastAsia" w:ascii="Times New Roman" w:hAnsi="Times New Roman" w:eastAsia="仿宋_GB2312" w:cs="Times New Roman"/>
          <w:color w:val="000000"/>
          <w:sz w:val="32"/>
          <w:lang w:val="en-US" w:eastAsia="zh-CN"/>
        </w:rPr>
        <w:t>（略）</w:t>
      </w:r>
      <w:r>
        <w:rPr>
          <w:rFonts w:hint="default" w:ascii="Times New Roman" w:hAnsi="Times New Roman" w:eastAsia="仿宋_GB2312" w:cs="Times New Roman"/>
          <w:bCs/>
          <w:kern w:val="2"/>
          <w:sz w:val="32"/>
          <w:szCs w:val="36"/>
          <w:lang w:val="en-US" w:eastAsia="zh-CN" w:bidi="ar-SA"/>
        </w:rPr>
        <w:t>；永辉股份全球</w:t>
      </w:r>
      <w:r>
        <w:rPr>
          <w:rFonts w:hint="eastAsia" w:ascii="Times New Roman" w:hAnsi="Times New Roman" w:cs="Times New Roman"/>
          <w:bCs/>
          <w:kern w:val="2"/>
          <w:sz w:val="32"/>
          <w:szCs w:val="36"/>
          <w:lang w:val="en-US" w:eastAsia="zh-CN" w:bidi="ar-SA"/>
        </w:rPr>
        <w:t>营业额为</w:t>
      </w:r>
      <w:r>
        <w:rPr>
          <w:rFonts w:hint="eastAsia" w:ascii="Times New Roman" w:hAnsi="Times New Roman" w:eastAsia="仿宋_GB2312" w:cs="Times New Roman"/>
          <w:color w:val="000000"/>
          <w:sz w:val="32"/>
          <w:lang w:val="en-US" w:eastAsia="zh-CN"/>
        </w:rPr>
        <w:t>（略）</w:t>
      </w:r>
      <w:r>
        <w:rPr>
          <w:rFonts w:hint="eastAsia" w:ascii="Times New Roman" w:hAnsi="Times New Roman" w:cs="Times New Roman"/>
          <w:color w:val="000000"/>
          <w:sz w:val="32"/>
          <w:lang w:val="en-US" w:eastAsia="zh-CN"/>
        </w:rPr>
        <w:t>，</w:t>
      </w:r>
      <w:r>
        <w:rPr>
          <w:rFonts w:hint="default" w:ascii="Times New Roman" w:hAnsi="Times New Roman" w:eastAsia="仿宋_GB2312" w:cs="Times New Roman"/>
          <w:bCs/>
          <w:kern w:val="2"/>
          <w:sz w:val="32"/>
          <w:szCs w:val="36"/>
          <w:lang w:val="en-US" w:eastAsia="zh-CN" w:bidi="ar-SA"/>
        </w:rPr>
        <w:t>中国境内营业额</w:t>
      </w:r>
      <w:r>
        <w:rPr>
          <w:rFonts w:hint="eastAsia" w:ascii="Times New Roman" w:hAnsi="Times New Roman" w:cs="Times New Roman"/>
          <w:color w:val="000000"/>
          <w:sz w:val="32"/>
          <w:lang w:val="en-US" w:eastAsia="zh-CN"/>
        </w:rPr>
        <w:t>为</w:t>
      </w:r>
      <w:r>
        <w:rPr>
          <w:rFonts w:hint="eastAsia" w:ascii="Times New Roman" w:hAnsi="Times New Roman" w:eastAsia="仿宋_GB2312" w:cs="Times New Roman"/>
          <w:color w:val="000000"/>
          <w:sz w:val="32"/>
          <w:lang w:val="en-US" w:eastAsia="zh-CN"/>
        </w:rPr>
        <w:t>（略）</w:t>
      </w:r>
      <w:r>
        <w:rPr>
          <w:rFonts w:hint="default" w:ascii="Times New Roman" w:hAnsi="Times New Roman" w:eastAsia="仿宋_GB2312" w:cs="Times New Roman"/>
          <w:bCs/>
          <w:kern w:val="2"/>
          <w:sz w:val="32"/>
          <w:szCs w:val="36"/>
          <w:lang w:val="en-US" w:eastAsia="zh-CN" w:bidi="ar-SA"/>
        </w:rPr>
        <w:t>，达到《国务院关于经营者集中申报标准的规定》第三条规定的申报标准，属于应当申报的情形。</w:t>
      </w:r>
    </w:p>
    <w:p>
      <w:pPr>
        <w:pStyle w:val="5"/>
        <w:keepNext w:val="0"/>
        <w:keepLines w:val="0"/>
        <w:pageBreakBefore w:val="0"/>
        <w:widowControl w:val="0"/>
        <w:suppressAutoHyphens/>
        <w:kinsoku/>
        <w:wordWrap/>
        <w:overflowPunct w:val="0"/>
        <w:topLinePunct w:val="0"/>
        <w:autoSpaceDE w:val="0"/>
        <w:autoSpaceDN w:val="0"/>
        <w:bidi w:val="0"/>
        <w:adjustRightInd w:val="0"/>
        <w:snapToGrid/>
        <w:spacing w:before="0" w:beforeAutospacing="0" w:after="0" w:afterAutospacing="0" w:line="594" w:lineRule="exact"/>
        <w:ind w:firstLine="628" w:firstLineChars="200"/>
        <w:jc w:val="both"/>
        <w:textAlignment w:val="auto"/>
        <w:outlineLvl w:val="9"/>
        <w:rPr>
          <w:rFonts w:hint="default" w:ascii="Times New Roman" w:hAnsi="Times New Roman" w:eastAsia="仿宋_GB2312" w:cs="Times New Roman"/>
          <w:color w:val="auto"/>
          <w:sz w:val="32"/>
          <w:szCs w:val="32"/>
        </w:rPr>
      </w:pPr>
      <w:r>
        <w:rPr>
          <w:rFonts w:hint="default" w:ascii="Times New Roman" w:hAnsi="Times New Roman" w:eastAsia="仿宋_GB2312" w:cs="Times New Roman"/>
          <w:bCs/>
          <w:kern w:val="2"/>
          <w:sz w:val="32"/>
          <w:szCs w:val="36"/>
          <w:lang w:val="en-US" w:eastAsia="zh-CN" w:bidi="ar-SA"/>
        </w:rPr>
        <w:t>根据《反垄断法》第二十一条规定“经营者集中达到国务院规定的申报标准的，经营者应当事先向国务院反</w:t>
      </w:r>
      <w:r>
        <w:rPr>
          <w:rFonts w:hint="default" w:ascii="Times New Roman" w:hAnsi="Times New Roman" w:eastAsia="仿宋_GB2312" w:cs="Times New Roman"/>
          <w:color w:val="auto"/>
          <w:sz w:val="32"/>
          <w:szCs w:val="32"/>
          <w:lang w:eastAsia="zh-CN"/>
        </w:rPr>
        <w:t>垄断执法机构申报，未申报的不得实施集中”。</w:t>
      </w:r>
      <w:r>
        <w:rPr>
          <w:rFonts w:hint="default" w:ascii="Times New Roman" w:hAnsi="Times New Roman" w:eastAsia="仿宋_GB2312" w:cs="Times New Roman"/>
          <w:color w:val="000000"/>
          <w:kern w:val="2"/>
          <w:sz w:val="32"/>
          <w:szCs w:val="22"/>
          <w:lang w:val="en-US" w:eastAsia="zh-CN" w:bidi="ar-SA"/>
        </w:rPr>
        <w:t>2018年3月23日</w:t>
      </w:r>
      <w:r>
        <w:rPr>
          <w:rFonts w:hint="default" w:ascii="Times New Roman" w:hAnsi="Times New Roman" w:eastAsia="仿宋_GB2312" w:cs="Times New Roman"/>
          <w:b w:val="0"/>
          <w:bCs w:val="0"/>
          <w:kern w:val="2"/>
          <w:sz w:val="32"/>
          <w:szCs w:val="32"/>
          <w:lang w:val="en-US" w:eastAsia="zh-CN" w:bidi="ar-SA"/>
        </w:rPr>
        <w:t>，永辉云创完成股权变更登记</w:t>
      </w:r>
      <w:r>
        <w:rPr>
          <w:rFonts w:hint="default" w:ascii="Times New Roman" w:hAnsi="Times New Roman" w:eastAsia="仿宋_GB2312" w:cs="Times New Roman"/>
          <w:bCs/>
          <w:kern w:val="2"/>
          <w:sz w:val="32"/>
          <w:szCs w:val="32"/>
          <w:lang w:val="en-US" w:eastAsia="zh-CN" w:bidi="ar-SA"/>
        </w:rPr>
        <w:t>，</w:t>
      </w:r>
      <w:r>
        <w:rPr>
          <w:rFonts w:hint="default" w:ascii="Times New Roman" w:hAnsi="Times New Roman" w:eastAsia="仿宋_GB2312" w:cs="Times New Roman"/>
          <w:bCs/>
          <w:color w:val="auto"/>
          <w:kern w:val="2"/>
          <w:sz w:val="32"/>
          <w:szCs w:val="32"/>
          <w:u w:val="none"/>
          <w:lang w:val="en-US" w:eastAsia="zh-CN" w:bidi="ar-SA"/>
        </w:rPr>
        <w:t>在</w:t>
      </w:r>
      <w:bookmarkStart w:id="0" w:name="_GoBack"/>
      <w:bookmarkEnd w:id="0"/>
      <w:r>
        <w:rPr>
          <w:rFonts w:hint="default" w:ascii="Times New Roman" w:hAnsi="Times New Roman" w:eastAsia="仿宋_GB2312" w:cs="Times New Roman"/>
          <w:bCs/>
          <w:color w:val="auto"/>
          <w:kern w:val="2"/>
          <w:sz w:val="32"/>
          <w:szCs w:val="32"/>
          <w:u w:val="none"/>
          <w:lang w:val="en-US" w:eastAsia="zh-CN" w:bidi="ar-SA"/>
        </w:rPr>
        <w:t>此之前未依法申报，违反《反垄断法》第二十一条，构成违法实施</w:t>
      </w:r>
      <w:r>
        <w:rPr>
          <w:rFonts w:hint="default" w:ascii="Times New Roman" w:hAnsi="Times New Roman" w:eastAsia="仿宋_GB2312" w:cs="Times New Roman"/>
          <w:color w:val="auto"/>
          <w:sz w:val="32"/>
          <w:szCs w:val="32"/>
        </w:rPr>
        <w:t>的经营者集中。</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color w:val="auto"/>
          <w:kern w:val="2"/>
          <w:sz w:val="32"/>
          <w:szCs w:val="32"/>
        </w:rPr>
      </w:pPr>
      <w:r>
        <w:rPr>
          <w:rFonts w:hint="default" w:ascii="Times New Roman" w:hAnsi="Times New Roman" w:eastAsia="楷体_GB2312" w:cs="Times New Roman"/>
          <w:color w:val="auto"/>
          <w:kern w:val="2"/>
          <w:sz w:val="32"/>
          <w:szCs w:val="32"/>
        </w:rPr>
        <w:t>（二）本案不具有排除、限制竞争的效果。</w:t>
      </w:r>
    </w:p>
    <w:p>
      <w:pPr>
        <w:keepNext w:val="0"/>
        <w:keepLines w:val="0"/>
        <w:pageBreakBefore w:val="0"/>
        <w:widowControl w:val="0"/>
        <w:kinsoku/>
        <w:wordWrap/>
        <w:topLinePunct w:val="0"/>
        <w:bidi w:val="0"/>
        <w:spacing w:line="594" w:lineRule="exact"/>
        <w:ind w:firstLine="628" w:firstLineChars="200"/>
        <w:textAlignment w:val="auto"/>
        <w:outlineLvl w:val="0"/>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color w:val="auto"/>
          <w:kern w:val="2"/>
          <w:sz w:val="32"/>
          <w:szCs w:val="32"/>
        </w:rPr>
        <w:t>本机关就</w:t>
      </w:r>
      <w:r>
        <w:rPr>
          <w:rFonts w:hint="default" w:ascii="Times New Roman" w:hAnsi="Times New Roman" w:eastAsia="仿宋_GB2312" w:cs="Times New Roman"/>
          <w:b w:val="0"/>
          <w:bCs w:val="0"/>
          <w:kern w:val="2"/>
          <w:sz w:val="32"/>
          <w:szCs w:val="32"/>
          <w:lang w:val="en-US" w:eastAsia="zh-CN" w:bidi="ar-SA"/>
        </w:rPr>
        <w:t>腾讯收购永辉</w:t>
      </w:r>
      <w:r>
        <w:rPr>
          <w:rFonts w:hint="eastAsia" w:ascii="Times New Roman" w:hAnsi="Times New Roman" w:eastAsia="仿宋_GB2312" w:cs="Times New Roman"/>
          <w:b w:val="0"/>
          <w:bCs w:val="0"/>
          <w:kern w:val="2"/>
          <w:sz w:val="32"/>
          <w:szCs w:val="32"/>
          <w:lang w:val="en-US" w:eastAsia="zh-CN" w:bidi="ar-SA"/>
        </w:rPr>
        <w:t>云创</w:t>
      </w:r>
      <w:r>
        <w:rPr>
          <w:rFonts w:hint="default" w:ascii="Times New Roman" w:hAnsi="Times New Roman" w:eastAsia="仿宋_GB2312" w:cs="Times New Roman"/>
          <w:kern w:val="2"/>
          <w:sz w:val="32"/>
          <w:szCs w:val="32"/>
          <w:lang w:eastAsia="zh-CN"/>
        </w:rPr>
        <w:t>股权</w:t>
      </w:r>
      <w:r>
        <w:rPr>
          <w:rFonts w:hint="default" w:ascii="Times New Roman" w:hAnsi="Times New Roman" w:eastAsia="仿宋_GB2312" w:cs="Times New Roman"/>
          <w:color w:val="auto"/>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color w:val="auto"/>
          <w:kern w:val="2"/>
          <w:sz w:val="32"/>
          <w:szCs w:val="32"/>
        </w:rPr>
      </w:pPr>
      <w:r>
        <w:rPr>
          <w:rFonts w:hint="default" w:ascii="Times New Roman" w:hAnsi="Times New Roman" w:eastAsia="黑体" w:cs="Times New Roman"/>
          <w:color w:val="auto"/>
          <w:kern w:val="2"/>
          <w:sz w:val="32"/>
          <w:szCs w:val="32"/>
        </w:rPr>
        <w:t>三、行政处罚依据和决定</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bCs/>
          <w:color w:val="auto"/>
          <w:kern w:val="2"/>
          <w:sz w:val="32"/>
          <w:szCs w:val="32"/>
          <w:lang w:eastAsia="zh-CN"/>
        </w:rPr>
      </w:pPr>
      <w:r>
        <w:rPr>
          <w:rFonts w:hint="default" w:ascii="Times New Roman" w:hAnsi="Times New Roman" w:eastAsia="仿宋_GB2312" w:cs="Times New Roman"/>
          <w:bCs/>
          <w:color w:val="auto"/>
          <w:kern w:val="2"/>
          <w:sz w:val="32"/>
          <w:szCs w:val="32"/>
        </w:rPr>
        <w:t>《反垄断法》第四十八条</w:t>
      </w:r>
      <w:r>
        <w:rPr>
          <w:rFonts w:hint="default" w:ascii="Times New Roman" w:hAnsi="Times New Roman" w:eastAsia="仿宋_GB2312" w:cs="Times New Roman"/>
          <w:bCs/>
          <w:color w:val="auto"/>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auto"/>
          <w:kern w:val="2"/>
          <w:sz w:val="32"/>
          <w:szCs w:val="32"/>
        </w:rPr>
        <w:t>《反垄断法》第四十九条</w:t>
      </w:r>
      <w:r>
        <w:rPr>
          <w:rFonts w:hint="default" w:ascii="Times New Roman" w:hAnsi="Times New Roman" w:eastAsia="仿宋_GB2312" w:cs="Times New Roman"/>
          <w:bCs/>
          <w:color w:val="auto"/>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auto"/>
          <w:kern w:val="2"/>
          <w:sz w:val="32"/>
          <w:szCs w:val="32"/>
          <w:lang w:eastAsia="zh-CN"/>
        </w:rPr>
      </w:pPr>
      <w:r>
        <w:rPr>
          <w:rFonts w:hint="default" w:ascii="Times New Roman" w:hAnsi="Times New Roman" w:eastAsia="仿宋_GB2312" w:cs="Times New Roman"/>
          <w:bCs/>
          <w:color w:val="auto"/>
          <w:kern w:val="2"/>
          <w:sz w:val="32"/>
          <w:szCs w:val="32"/>
        </w:rPr>
        <w:t>根据</w:t>
      </w:r>
      <w:r>
        <w:rPr>
          <w:rFonts w:hint="default" w:ascii="Times New Roman" w:hAnsi="Times New Roman" w:eastAsia="仿宋_GB2312" w:cs="Times New Roman"/>
          <w:bCs/>
          <w:color w:val="auto"/>
          <w:kern w:val="2"/>
          <w:sz w:val="32"/>
          <w:szCs w:val="32"/>
          <w:lang w:eastAsia="zh-CN"/>
        </w:rPr>
        <w:t>上述规定，</w:t>
      </w:r>
      <w:r>
        <w:rPr>
          <w:rFonts w:hint="default" w:ascii="Times New Roman" w:hAnsi="Times New Roman" w:eastAsia="仿宋_GB2312" w:cs="Times New Roman"/>
          <w:bCs/>
          <w:color w:val="auto"/>
          <w:kern w:val="2"/>
          <w:sz w:val="32"/>
          <w:szCs w:val="32"/>
        </w:rPr>
        <w:t>基于调查</w:t>
      </w:r>
      <w:r>
        <w:rPr>
          <w:rFonts w:hint="default" w:ascii="Times New Roman" w:hAnsi="Times New Roman" w:eastAsia="仿宋_GB2312" w:cs="Times New Roman"/>
          <w:bCs/>
          <w:color w:val="auto"/>
          <w:kern w:val="2"/>
          <w:sz w:val="32"/>
          <w:szCs w:val="32"/>
          <w:lang w:eastAsia="zh-CN"/>
        </w:rPr>
        <w:t>情况和评估结论，本机关</w:t>
      </w:r>
      <w:r>
        <w:rPr>
          <w:rFonts w:hint="eastAsia" w:eastAsia="仿宋_GB2312" w:cs="Times New Roman"/>
          <w:bCs/>
          <w:color w:val="auto"/>
          <w:kern w:val="2"/>
          <w:sz w:val="32"/>
          <w:szCs w:val="32"/>
          <w:lang w:val="en-US" w:eastAsia="zh-CN"/>
        </w:rPr>
        <w:t>决定</w:t>
      </w:r>
      <w:r>
        <w:rPr>
          <w:rFonts w:hint="default" w:ascii="Times New Roman" w:hAnsi="Times New Roman" w:eastAsia="仿宋_GB2312" w:cs="Times New Roman"/>
          <w:bCs/>
          <w:color w:val="auto"/>
          <w:kern w:val="2"/>
          <w:sz w:val="32"/>
          <w:szCs w:val="32"/>
          <w:lang w:eastAsia="zh-CN"/>
        </w:rPr>
        <w:t>给予</w:t>
      </w:r>
      <w:r>
        <w:rPr>
          <w:rFonts w:hint="default" w:ascii="Times New Roman" w:hAnsi="Times New Roman" w:eastAsia="仿宋_GB2312" w:cs="Times New Roman"/>
          <w:bCs/>
          <w:color w:val="auto"/>
          <w:kern w:val="2"/>
          <w:sz w:val="32"/>
          <w:szCs w:val="32"/>
          <w:lang w:val="en-US" w:eastAsia="zh-CN"/>
        </w:rPr>
        <w:t>腾讯5</w:t>
      </w:r>
      <w:r>
        <w:rPr>
          <w:rFonts w:hint="default" w:ascii="Times New Roman" w:hAnsi="Times New Roman" w:eastAsia="仿宋_GB2312" w:cs="Times New Roman"/>
          <w:bCs/>
          <w:color w:val="auto"/>
          <w:kern w:val="2"/>
          <w:sz w:val="32"/>
          <w:szCs w:val="32"/>
          <w:lang w:eastAsia="zh-CN"/>
        </w:rPr>
        <w:t>0万元罚款的行政处罚。</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color w:val="auto"/>
          <w:kern w:val="2"/>
          <w:sz w:val="32"/>
          <w:szCs w:val="32"/>
          <w:lang w:eastAsia="zh-CN"/>
        </w:rPr>
      </w:pPr>
      <w:r>
        <w:rPr>
          <w:rFonts w:hint="default" w:ascii="Times New Roman" w:hAnsi="Times New Roman" w:eastAsia="仿宋_GB2312" w:cs="Times New Roman"/>
          <w:color w:val="auto"/>
          <w:kern w:val="2"/>
          <w:sz w:val="32"/>
          <w:szCs w:val="32"/>
        </w:rPr>
        <w:t>《行政处罚法》第</w:t>
      </w:r>
      <w:r>
        <w:rPr>
          <w:rFonts w:hint="default" w:ascii="Times New Roman" w:hAnsi="Times New Roman" w:eastAsia="仿宋_GB2312" w:cs="Times New Roman"/>
          <w:color w:val="auto"/>
          <w:kern w:val="2"/>
          <w:sz w:val="32"/>
          <w:szCs w:val="32"/>
          <w:lang w:eastAsia="zh-CN"/>
        </w:rPr>
        <w:t>六十七</w:t>
      </w:r>
      <w:r>
        <w:rPr>
          <w:rFonts w:hint="default" w:ascii="Times New Roman" w:hAnsi="Times New Roman" w:eastAsia="仿宋_GB2312" w:cs="Times New Roman"/>
          <w:color w:val="auto"/>
          <w:kern w:val="2"/>
          <w:sz w:val="32"/>
          <w:szCs w:val="32"/>
        </w:rPr>
        <w:t>条规定</w:t>
      </w:r>
      <w:r>
        <w:rPr>
          <w:rFonts w:hint="default" w:ascii="Times New Roman" w:hAnsi="Times New Roman" w:eastAsia="仿宋_GB2312" w:cs="Times New Roman"/>
          <w:color w:val="auto"/>
          <w:kern w:val="2"/>
          <w:sz w:val="32"/>
          <w:szCs w:val="32"/>
          <w:lang w:eastAsia="zh-CN"/>
        </w:rPr>
        <w:t>“作出罚款决定的行政机关应当与收缴罚款的机构分离。除依照本法第六十八条、第六十九条的规定当场收缴的罚款外，作出行政处罚决定的行政机关及其执法人员不得自行收缴罚款。当事人应当自收到行政处罚决定书之日起十五日内，到指定的银行或者通过电子支付系统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color w:val="auto"/>
          <w:kern w:val="2"/>
          <w:sz w:val="32"/>
          <w:szCs w:val="32"/>
          <w:lang w:eastAsia="zh-CN"/>
        </w:rPr>
        <w:t>当事人</w:t>
      </w:r>
      <w:r>
        <w:rPr>
          <w:rFonts w:hint="default" w:ascii="Times New Roman" w:hAnsi="Times New Roman" w:eastAsia="仿宋_GB2312" w:cs="Times New Roman"/>
          <w:color w:val="auto"/>
          <w:kern w:val="2"/>
          <w:sz w:val="32"/>
          <w:szCs w:val="32"/>
        </w:rPr>
        <w:t>应当自收到本行政处罚决定书之日起十五日内，携缴款码到1</w:t>
      </w:r>
      <w:r>
        <w:rPr>
          <w:rFonts w:hint="default" w:ascii="Times New Roman" w:hAnsi="Times New Roman" w:eastAsia="仿宋_GB2312" w:cs="Times New Roman"/>
          <w:color w:val="auto"/>
          <w:kern w:val="2"/>
          <w:sz w:val="32"/>
          <w:szCs w:val="32"/>
          <w:lang w:val="en-US" w:eastAsia="zh-CN"/>
        </w:rPr>
        <w:t>5</w:t>
      </w:r>
      <w:r>
        <w:rPr>
          <w:rFonts w:hint="default" w:ascii="Times New Roman" w:hAnsi="Times New Roman" w:eastAsia="仿宋_GB2312" w:cs="Times New Roman"/>
          <w:color w:val="auto"/>
          <w:kern w:val="2"/>
          <w:sz w:val="32"/>
          <w:szCs w:val="32"/>
        </w:rPr>
        <w:t>家中央财政非税收入收缴代理银行（工、农、中、建、交、中信、光大、招商、邮储、华夏、平安、兴业</w:t>
      </w:r>
      <w:r>
        <w:rPr>
          <w:rFonts w:hint="default" w:ascii="Times New Roman" w:hAnsi="Times New Roman" w:eastAsia="仿宋_GB2312" w:cs="Times New Roman"/>
          <w:color w:val="auto"/>
          <w:kern w:val="2"/>
          <w:sz w:val="32"/>
          <w:szCs w:val="32"/>
          <w:lang w:eastAsia="zh-CN"/>
        </w:rPr>
        <w:t>、民生、广发、浙商</w:t>
      </w:r>
      <w:r>
        <w:rPr>
          <w:rFonts w:hint="default" w:ascii="Times New Roman" w:hAnsi="Times New Roman" w:eastAsia="仿宋_GB2312" w:cs="Times New Roman"/>
          <w:color w:val="auto"/>
          <w:kern w:val="2"/>
          <w:sz w:val="32"/>
          <w:szCs w:val="32"/>
        </w:rPr>
        <w:t>）任一银行网点</w:t>
      </w:r>
      <w:r>
        <w:rPr>
          <w:rFonts w:hint="default" w:ascii="Times New Roman" w:hAnsi="Times New Roman" w:eastAsia="仿宋_GB2312" w:cs="Times New Roman"/>
          <w:color w:val="auto"/>
          <w:kern w:val="2"/>
          <w:sz w:val="32"/>
          <w:szCs w:val="32"/>
          <w:lang w:eastAsia="zh-CN"/>
        </w:rPr>
        <w:t>、</w:t>
      </w:r>
      <w:r>
        <w:rPr>
          <w:rFonts w:hint="default" w:ascii="Times New Roman" w:hAnsi="Times New Roman" w:eastAsia="仿宋_GB2312" w:cs="Times New Roman"/>
          <w:color w:val="auto"/>
          <w:kern w:val="2"/>
          <w:sz w:val="32"/>
          <w:szCs w:val="32"/>
        </w:rPr>
        <w:t>网上银行</w:t>
      </w:r>
      <w:r>
        <w:rPr>
          <w:rFonts w:hint="eastAsia" w:eastAsia="仿宋_GB2312" w:cs="Times New Roman"/>
          <w:color w:val="auto"/>
          <w:kern w:val="2"/>
          <w:sz w:val="32"/>
          <w:szCs w:val="32"/>
          <w:lang w:val="en-US" w:eastAsia="zh-CN"/>
        </w:rPr>
        <w:t>缴纳</w:t>
      </w:r>
      <w:r>
        <w:rPr>
          <w:rFonts w:hint="default" w:ascii="Times New Roman" w:hAnsi="Times New Roman" w:eastAsia="仿宋_GB2312" w:cs="Times New Roman"/>
          <w:color w:val="auto"/>
          <w:kern w:val="2"/>
          <w:sz w:val="32"/>
          <w:szCs w:val="32"/>
        </w:rPr>
        <w:t>罚款。</w:t>
      </w:r>
      <w:r>
        <w:rPr>
          <w:rFonts w:hint="default" w:ascii="Times New Roman" w:hAnsi="Times New Roman" w:eastAsia="仿宋_GB2312" w:cs="Times New Roman"/>
          <w:color w:val="auto"/>
          <w:kern w:val="2"/>
          <w:sz w:val="32"/>
          <w:szCs w:val="32"/>
          <w:highlight w:val="none"/>
        </w:rPr>
        <w:t>缴款码：</w:t>
      </w:r>
      <w:r>
        <w:rPr>
          <w:rFonts w:hint="eastAsia" w:eastAsia="仿宋_GB2312" w:cs="Times New Roman"/>
          <w:color w:val="auto"/>
          <w:kern w:val="2"/>
          <w:sz w:val="32"/>
          <w:szCs w:val="32"/>
          <w:highlight w:val="none"/>
          <w:lang w:val="en-US" w:eastAsia="zh-CN"/>
        </w:rPr>
        <w:t>（略）</w:t>
      </w:r>
      <w:r>
        <w:rPr>
          <w:rFonts w:hint="default" w:ascii="Times New Roman" w:hAnsi="Times New Roman" w:eastAsia="仿宋_GB2312" w:cs="Times New Roman"/>
          <w:color w:val="auto"/>
          <w:kern w:val="2"/>
          <w:sz w:val="32"/>
          <w:szCs w:val="32"/>
          <w:highlight w:val="none"/>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auto"/>
          <w:kern w:val="2"/>
          <w:sz w:val="32"/>
          <w:szCs w:val="32"/>
          <w:lang w:eastAsia="zh-CN"/>
        </w:rPr>
      </w:pPr>
      <w:r>
        <w:rPr>
          <w:rFonts w:hint="default" w:ascii="Times New Roman" w:hAnsi="Times New Roman" w:eastAsia="仿宋_GB2312" w:cs="Times New Roman"/>
          <w:bCs/>
          <w:color w:val="auto"/>
          <w:kern w:val="2"/>
          <w:sz w:val="32"/>
          <w:szCs w:val="32"/>
          <w:lang w:eastAsia="zh-CN"/>
        </w:rPr>
        <w:t xml:space="preserve">当事人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pStyle w:val="2"/>
        <w:keepNext w:val="0"/>
        <w:keepLines w:val="0"/>
        <w:pageBreakBefore w:val="0"/>
        <w:kinsoku/>
        <w:wordWrap/>
        <w:topLinePunct w:val="0"/>
        <w:bidi w:val="0"/>
        <w:spacing w:line="594" w:lineRule="exact"/>
        <w:textAlignment w:val="auto"/>
        <w:rPr>
          <w:rFonts w:hint="default"/>
          <w:lang w:eastAsia="zh-CN"/>
        </w:rPr>
      </w:pPr>
    </w:p>
    <w:p>
      <w:pPr>
        <w:keepNext w:val="0"/>
        <w:keepLines w:val="0"/>
        <w:pageBreakBefore w:val="0"/>
        <w:widowControl w:val="0"/>
        <w:kinsoku/>
        <w:wordWrap/>
        <w:topLinePunct w:val="0"/>
        <w:bidi w:val="0"/>
        <w:snapToGrid w:val="0"/>
        <w:spacing w:line="594" w:lineRule="exact"/>
        <w:ind w:firstLine="5433" w:firstLineChars="1730"/>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color w:val="auto"/>
          <w:kern w:val="2"/>
          <w:sz w:val="32"/>
          <w:szCs w:val="32"/>
        </w:rPr>
        <w:t>市场监管总局</w:t>
      </w:r>
    </w:p>
    <w:p>
      <w:pPr>
        <w:keepNext w:val="0"/>
        <w:keepLines w:val="0"/>
        <w:pageBreakBefore w:val="0"/>
        <w:widowControl w:val="0"/>
        <w:kinsoku/>
        <w:wordWrap/>
        <w:topLinePunct w:val="0"/>
        <w:bidi w:val="0"/>
        <w:snapToGrid w:val="0"/>
        <w:spacing w:line="594" w:lineRule="exact"/>
        <w:ind w:firstLine="5225" w:firstLineChars="1664"/>
        <w:textAlignment w:val="auto"/>
        <w:rPr>
          <w:rFonts w:hint="default" w:ascii="Times New Roman" w:hAnsi="Times New Roman" w:eastAsia="仿宋_GB2312" w:cs="Times New Roman"/>
          <w:color w:val="auto"/>
          <w:kern w:val="2"/>
          <w:sz w:val="32"/>
          <w:szCs w:val="32"/>
        </w:rPr>
      </w:pPr>
      <w:r>
        <w:rPr>
          <w:rFonts w:hint="default" w:ascii="Times New Roman" w:hAnsi="Times New Roman" w:eastAsia="仿宋_GB2312" w:cs="Times New Roman"/>
          <w:color w:val="auto"/>
          <w:kern w:val="2"/>
          <w:sz w:val="32"/>
          <w:szCs w:val="32"/>
        </w:rPr>
        <w:t>202</w:t>
      </w:r>
      <w:r>
        <w:rPr>
          <w:rFonts w:hint="default" w:ascii="Times New Roman" w:hAnsi="Times New Roman" w:eastAsia="仿宋_GB2312" w:cs="Times New Roman"/>
          <w:color w:val="auto"/>
          <w:kern w:val="2"/>
          <w:sz w:val="32"/>
          <w:szCs w:val="32"/>
          <w:lang w:val="en-US" w:eastAsia="zh-CN"/>
        </w:rPr>
        <w:t>1</w:t>
      </w:r>
      <w:r>
        <w:rPr>
          <w:rFonts w:hint="default" w:ascii="Times New Roman" w:hAnsi="Times New Roman" w:eastAsia="仿宋_GB2312" w:cs="Times New Roman"/>
          <w:color w:val="auto"/>
          <w:kern w:val="2"/>
          <w:sz w:val="32"/>
          <w:szCs w:val="32"/>
        </w:rPr>
        <w:t>年</w:t>
      </w:r>
      <w:r>
        <w:rPr>
          <w:rFonts w:hint="default" w:ascii="Times New Roman" w:hAnsi="Times New Roman" w:eastAsia="仿宋_GB2312" w:cs="Times New Roman"/>
          <w:color w:val="auto"/>
          <w:kern w:val="2"/>
          <w:sz w:val="32"/>
          <w:szCs w:val="32"/>
          <w:lang w:val="en-US" w:eastAsia="zh-CN"/>
        </w:rPr>
        <w:t>12</w:t>
      </w:r>
      <w:r>
        <w:rPr>
          <w:rFonts w:hint="default" w:ascii="Times New Roman" w:hAnsi="Times New Roman" w:eastAsia="仿宋_GB2312" w:cs="Times New Roman"/>
          <w:color w:val="auto"/>
          <w:kern w:val="2"/>
          <w:sz w:val="32"/>
          <w:szCs w:val="32"/>
        </w:rPr>
        <w:t>月</w:t>
      </w:r>
      <w:r>
        <w:rPr>
          <w:rFonts w:hint="eastAsia" w:eastAsia="仿宋_GB2312" w:cs="Times New Roman"/>
          <w:color w:val="auto"/>
          <w:kern w:val="2"/>
          <w:sz w:val="32"/>
          <w:szCs w:val="32"/>
          <w:lang w:val="en-US" w:eastAsia="zh-CN"/>
        </w:rPr>
        <w:t>31</w:t>
      </w:r>
      <w:r>
        <w:rPr>
          <w:rFonts w:hint="default" w:ascii="Times New Roman" w:hAnsi="Times New Roman" w:eastAsia="仿宋_GB2312" w:cs="Times New Roman"/>
          <w:color w:val="auto"/>
          <w:kern w:val="2"/>
          <w:sz w:val="32"/>
          <w:szCs w:val="32"/>
        </w:rPr>
        <w:t>日</w:t>
      </w:r>
    </w:p>
    <w:p>
      <w:pPr>
        <w:keepNext w:val="0"/>
        <w:keepLines w:val="0"/>
        <w:pageBreakBefore w:val="0"/>
        <w:widowControl w:val="0"/>
        <w:kinsoku/>
        <w:wordWrap/>
        <w:topLinePunct w:val="0"/>
        <w:bidi w:val="0"/>
        <w:spacing w:line="594" w:lineRule="exact"/>
        <w:ind w:firstLine="628" w:firstLineChars="200"/>
        <w:textAlignment w:val="auto"/>
        <w:rPr>
          <w:rFonts w:hint="default" w:ascii="Times New Roman" w:hAnsi="Times New Roman" w:cs="Times New Roman"/>
          <w:color w:val="auto"/>
        </w:rPr>
      </w:pPr>
      <w:r>
        <w:rPr>
          <w:rFonts w:hint="default" w:ascii="Times New Roman" w:hAnsi="Times New Roman" w:eastAsia="仿宋_GB2312" w:cs="Times New Roman"/>
          <w:color w:val="auto"/>
          <w:kern w:val="2"/>
          <w:sz w:val="32"/>
          <w:szCs w:val="32"/>
        </w:rPr>
        <w:t>（此件公开发布）</w:t>
      </w:r>
    </w:p>
    <w:sectPr>
      <w:footerReference r:id="rId3" w:type="default"/>
      <w:footerReference r:id="rId4" w:type="even"/>
      <w:pgSz w:w="11906" w:h="16838"/>
      <w:pgMar w:top="1440" w:right="1803" w:bottom="1440" w:left="1803"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8"/>
        <w:rFonts w:hint="eastAsia" w:ascii="宋体" w:hAnsi="宋体"/>
        <w:sz w:val="28"/>
        <w:szCs w:val="28"/>
      </w:rPr>
    </w:pPr>
    <w:r>
      <w:rPr>
        <w:rStyle w:val="8"/>
        <w:rFonts w:hint="eastAsia" w:ascii="宋体" w:hAnsi="宋体"/>
        <w:sz w:val="28"/>
        <w:szCs w:val="28"/>
      </w:rPr>
      <w:t xml:space="preserve">— </w:t>
    </w:r>
    <w:r>
      <w:rPr>
        <w:rStyle w:val="8"/>
        <w:rFonts w:ascii="宋体" w:hAnsi="宋体"/>
        <w:sz w:val="28"/>
        <w:szCs w:val="28"/>
      </w:rPr>
      <w:fldChar w:fldCharType="begin"/>
    </w:r>
    <w:r>
      <w:rPr>
        <w:rStyle w:val="8"/>
        <w:rFonts w:ascii="宋体" w:hAnsi="宋体"/>
        <w:sz w:val="28"/>
        <w:szCs w:val="28"/>
      </w:rPr>
      <w:instrText xml:space="preserve">PAGE  </w:instrText>
    </w:r>
    <w:r>
      <w:rPr>
        <w:rStyle w:val="8"/>
        <w:rFonts w:ascii="宋体" w:hAnsi="宋体"/>
        <w:sz w:val="28"/>
        <w:szCs w:val="28"/>
      </w:rPr>
      <w:fldChar w:fldCharType="separate"/>
    </w:r>
    <w:r>
      <w:rPr>
        <w:rStyle w:val="8"/>
        <w:rFonts w:ascii="宋体" w:hAnsi="宋体"/>
        <w:sz w:val="28"/>
        <w:szCs w:val="28"/>
      </w:rPr>
      <w:t>1</w:t>
    </w:r>
    <w:r>
      <w:rPr>
        <w:rStyle w:val="8"/>
        <w:rFonts w:ascii="宋体" w:hAnsi="宋体"/>
        <w:sz w:val="28"/>
        <w:szCs w:val="28"/>
      </w:rPr>
      <w:fldChar w:fldCharType="end"/>
    </w:r>
    <w:r>
      <w:rPr>
        <w:rStyle w:val="8"/>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8"/>
      </w:rPr>
    </w:pPr>
    <w:r>
      <w:rPr>
        <w:rStyle w:val="8"/>
      </w:rPr>
      <w:fldChar w:fldCharType="begin"/>
    </w:r>
    <w:r>
      <w:rPr>
        <w:rStyle w:val="8"/>
      </w:rPr>
      <w:instrText xml:space="preserve">PAGE  </w:instrText>
    </w:r>
    <w:r>
      <w:rPr>
        <w:rStyle w:val="8"/>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0EF7A06"/>
    <w:rsid w:val="0153063F"/>
    <w:rsid w:val="01A839B5"/>
    <w:rsid w:val="01E27CAC"/>
    <w:rsid w:val="02686764"/>
    <w:rsid w:val="030E3C1A"/>
    <w:rsid w:val="03235387"/>
    <w:rsid w:val="04086D04"/>
    <w:rsid w:val="0449129C"/>
    <w:rsid w:val="067B71A9"/>
    <w:rsid w:val="075F674C"/>
    <w:rsid w:val="08076DC9"/>
    <w:rsid w:val="083430C7"/>
    <w:rsid w:val="09AC08F5"/>
    <w:rsid w:val="09F86158"/>
    <w:rsid w:val="0A5C1C14"/>
    <w:rsid w:val="0B7369C9"/>
    <w:rsid w:val="0D2865CE"/>
    <w:rsid w:val="0D4F123B"/>
    <w:rsid w:val="0F1D24C6"/>
    <w:rsid w:val="0F384CAE"/>
    <w:rsid w:val="0FA70C29"/>
    <w:rsid w:val="117B7B3A"/>
    <w:rsid w:val="124546B4"/>
    <w:rsid w:val="12D617D9"/>
    <w:rsid w:val="131E7A78"/>
    <w:rsid w:val="14E769C2"/>
    <w:rsid w:val="16657401"/>
    <w:rsid w:val="16A406A2"/>
    <w:rsid w:val="16DE70D7"/>
    <w:rsid w:val="17C04BCC"/>
    <w:rsid w:val="17EF4193"/>
    <w:rsid w:val="18DB1E51"/>
    <w:rsid w:val="192053EE"/>
    <w:rsid w:val="19FF5BD3"/>
    <w:rsid w:val="1A156921"/>
    <w:rsid w:val="1ADB3431"/>
    <w:rsid w:val="1B0337EA"/>
    <w:rsid w:val="1B095395"/>
    <w:rsid w:val="1B223165"/>
    <w:rsid w:val="1C2A697C"/>
    <w:rsid w:val="1C324C69"/>
    <w:rsid w:val="1C3B30D9"/>
    <w:rsid w:val="1D3570B1"/>
    <w:rsid w:val="1DFC651E"/>
    <w:rsid w:val="1F573D93"/>
    <w:rsid w:val="1FF32288"/>
    <w:rsid w:val="20983F5B"/>
    <w:rsid w:val="20EC1104"/>
    <w:rsid w:val="213B5A0D"/>
    <w:rsid w:val="23EE6716"/>
    <w:rsid w:val="2608726A"/>
    <w:rsid w:val="261F51BF"/>
    <w:rsid w:val="264C3D8F"/>
    <w:rsid w:val="265326DA"/>
    <w:rsid w:val="26C54F4C"/>
    <w:rsid w:val="26D23DFE"/>
    <w:rsid w:val="27194B05"/>
    <w:rsid w:val="281D191B"/>
    <w:rsid w:val="28C8606C"/>
    <w:rsid w:val="28CA01DC"/>
    <w:rsid w:val="29171A1E"/>
    <w:rsid w:val="29F70A22"/>
    <w:rsid w:val="2A8D3236"/>
    <w:rsid w:val="2CBC70C7"/>
    <w:rsid w:val="2F5A18F5"/>
    <w:rsid w:val="300B75DD"/>
    <w:rsid w:val="304868C5"/>
    <w:rsid w:val="30645B43"/>
    <w:rsid w:val="3069119D"/>
    <w:rsid w:val="30864FAE"/>
    <w:rsid w:val="308D1FE3"/>
    <w:rsid w:val="31611C2C"/>
    <w:rsid w:val="31E778A8"/>
    <w:rsid w:val="32B6341A"/>
    <w:rsid w:val="33B94AAA"/>
    <w:rsid w:val="34170FDF"/>
    <w:rsid w:val="34714342"/>
    <w:rsid w:val="34A22DCA"/>
    <w:rsid w:val="35B03B5A"/>
    <w:rsid w:val="36B2473D"/>
    <w:rsid w:val="38043EF0"/>
    <w:rsid w:val="386A294D"/>
    <w:rsid w:val="39572122"/>
    <w:rsid w:val="3B5D2A4F"/>
    <w:rsid w:val="3BAF449F"/>
    <w:rsid w:val="3C534743"/>
    <w:rsid w:val="3CBF3D8F"/>
    <w:rsid w:val="3F1B7491"/>
    <w:rsid w:val="3F3B6D32"/>
    <w:rsid w:val="3F9631F0"/>
    <w:rsid w:val="4176030C"/>
    <w:rsid w:val="44636FC9"/>
    <w:rsid w:val="45F50A3C"/>
    <w:rsid w:val="46E42D2C"/>
    <w:rsid w:val="471E5D70"/>
    <w:rsid w:val="47242526"/>
    <w:rsid w:val="47984277"/>
    <w:rsid w:val="48B07C4C"/>
    <w:rsid w:val="49513DE5"/>
    <w:rsid w:val="49F75885"/>
    <w:rsid w:val="4A4F625B"/>
    <w:rsid w:val="4A8B7BE3"/>
    <w:rsid w:val="4ABC40B8"/>
    <w:rsid w:val="4BE41131"/>
    <w:rsid w:val="4C375BA3"/>
    <w:rsid w:val="4EF957B9"/>
    <w:rsid w:val="4EFD73AF"/>
    <w:rsid w:val="4FAC5499"/>
    <w:rsid w:val="4FBB0857"/>
    <w:rsid w:val="4FDB2438"/>
    <w:rsid w:val="502935DC"/>
    <w:rsid w:val="50983997"/>
    <w:rsid w:val="509E06F1"/>
    <w:rsid w:val="51075873"/>
    <w:rsid w:val="53AF751C"/>
    <w:rsid w:val="541C0068"/>
    <w:rsid w:val="5510036D"/>
    <w:rsid w:val="55536F12"/>
    <w:rsid w:val="557D0F8D"/>
    <w:rsid w:val="58F35A97"/>
    <w:rsid w:val="5A8C3C9C"/>
    <w:rsid w:val="5B8B0DC5"/>
    <w:rsid w:val="5BDD2331"/>
    <w:rsid w:val="5D4E6DD5"/>
    <w:rsid w:val="5EBC3ACE"/>
    <w:rsid w:val="5EFA53DB"/>
    <w:rsid w:val="5F391542"/>
    <w:rsid w:val="602F6571"/>
    <w:rsid w:val="61EB1098"/>
    <w:rsid w:val="62231604"/>
    <w:rsid w:val="626D5571"/>
    <w:rsid w:val="62E72A13"/>
    <w:rsid w:val="631604C1"/>
    <w:rsid w:val="64136D06"/>
    <w:rsid w:val="656413FC"/>
    <w:rsid w:val="65B56D3D"/>
    <w:rsid w:val="65C83415"/>
    <w:rsid w:val="662A0EB3"/>
    <w:rsid w:val="666A44BC"/>
    <w:rsid w:val="680C4124"/>
    <w:rsid w:val="6947638C"/>
    <w:rsid w:val="6A3F091C"/>
    <w:rsid w:val="6B870302"/>
    <w:rsid w:val="6C8D52AD"/>
    <w:rsid w:val="6F712D0C"/>
    <w:rsid w:val="71205B4B"/>
    <w:rsid w:val="77010CED"/>
    <w:rsid w:val="79211F20"/>
    <w:rsid w:val="7A782B89"/>
    <w:rsid w:val="7C901F86"/>
    <w:rsid w:val="7CD50CB3"/>
    <w:rsid w:val="7D641176"/>
    <w:rsid w:val="FAB0B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spacing w:line="360" w:lineRule="exact"/>
      <w:ind w:firstLine="420" w:firstLineChars="200"/>
    </w:pPr>
    <w:rPr>
      <w:szCs w:val="20"/>
    </w:rPr>
  </w:style>
  <w:style w:type="paragraph" w:styleId="3">
    <w:name w:val="Body Text"/>
    <w:basedOn w:val="1"/>
    <w:unhideWhenUsed/>
    <w:qFormat/>
    <w:uiPriority w:val="0"/>
    <w:pPr>
      <w:spacing w:after="120"/>
    </w:pPr>
    <w:rPr>
      <w:rFonts w:ascii="Calibri" w:hAnsi="Calibri" w:eastAsia="宋体" w:cs="Times New Roman"/>
      <w:szCs w:val="22"/>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page number"/>
    <w:basedOn w:val="7"/>
    <w:qFormat/>
    <w:uiPriority w:val="0"/>
  </w:style>
  <w:style w:type="paragraph" w:customStyle="1" w:styleId="9">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2020-12-11T02:26:00Z</dcterms:created>
  <dc:creator>徐霄飞</dc:creator>
  <cp:lastModifiedBy>张宝成</cp:lastModifiedBy>
  <cp:lastPrinted>2021-12-29T02:16:00Z</cp:lastPrinted>
  <dcterms:modified xsi:type="dcterms:W3CDTF">2021-12-31T08:57:55Z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ICV">
    <vt:lpwstr>81CAAB7E1E8542428C03C6B8D5131BE7</vt:lpwstr>
  </property>
</Properties>
</file>