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jc w:val="center"/>
        <w:textAlignment w:val="auto"/>
        <w:rPr>
          <w:rFonts w:hint="default" w:ascii="Times New Roman" w:hAnsi="Times New Roman" w:eastAsia="黑体" w:cs="Times New Roman"/>
          <w:bCs/>
          <w:color w:val="auto"/>
          <w:kern w:val="2"/>
          <w:sz w:val="52"/>
          <w:szCs w:val="52"/>
        </w:rPr>
      </w:pPr>
      <w:r>
        <w:rPr>
          <w:rFonts w:hint="default" w:ascii="Times New Roman" w:hAnsi="Times New Roman" w:eastAsia="黑体" w:cs="Times New Roman"/>
          <w:bCs/>
          <w:color w:val="auto"/>
          <w:spacing w:val="30"/>
          <w:kern w:val="0"/>
          <w:sz w:val="52"/>
          <w:szCs w:val="52"/>
          <w:fitText w:val="5742" w:id="434980390"/>
        </w:rPr>
        <w:t>国家市场监督管理总</w:t>
      </w:r>
      <w:r>
        <w:rPr>
          <w:rFonts w:hint="default" w:ascii="Times New Roman" w:hAnsi="Times New Roman" w:eastAsia="黑体" w:cs="Times New Roman"/>
          <w:bCs/>
          <w:color w:val="auto"/>
          <w:spacing w:val="1"/>
          <w:kern w:val="0"/>
          <w:sz w:val="52"/>
          <w:szCs w:val="52"/>
          <w:fitText w:val="5742" w:id="434980390"/>
        </w:rPr>
        <w:t>局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jc w:val="center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44"/>
          <w:szCs w:val="44"/>
        </w:rPr>
      </w:pPr>
      <w:r>
        <w:rPr>
          <w:rFonts w:hint="default" w:ascii="Times New Roman" w:hAnsi="Times New Roman" w:eastAsia="黑体" w:cs="Times New Roman"/>
          <w:bCs/>
          <w:color w:val="auto"/>
          <w:spacing w:val="175"/>
          <w:kern w:val="0"/>
          <w:sz w:val="52"/>
          <w:szCs w:val="52"/>
          <w:fitText w:val="5742" w:id="1"/>
        </w:rPr>
        <w:t>行政处罚决定</w:t>
      </w:r>
      <w:r>
        <w:rPr>
          <w:rFonts w:hint="default" w:ascii="Times New Roman" w:hAnsi="Times New Roman" w:eastAsia="黑体" w:cs="Times New Roman"/>
          <w:bCs/>
          <w:color w:val="auto"/>
          <w:spacing w:val="1"/>
          <w:kern w:val="0"/>
          <w:sz w:val="52"/>
          <w:szCs w:val="52"/>
          <w:fitText w:val="5742" w:id="1"/>
        </w:rPr>
        <w:t>书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line="594" w:lineRule="exact"/>
        <w:jc w:val="center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国市监处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〔202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〕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号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line="594" w:lineRule="exact"/>
        <w:jc w:val="center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当事人：</w:t>
      </w:r>
      <w:r>
        <w:rPr>
          <w:rFonts w:hint="eastAsia" w:ascii="Times New Roman" w:hAnsi="Times New Roman" w:eastAsia="仿宋_GB2312" w:cs="Times New Roman"/>
          <w:sz w:val="32"/>
          <w:szCs w:val="36"/>
          <w:lang w:val="en-US" w:eastAsia="zh-CN"/>
        </w:rPr>
        <w:t>慕尼黑再保险</w:t>
      </w:r>
      <w:r>
        <w:rPr>
          <w:rFonts w:hint="eastAsia" w:ascii="Times New Roman" w:hAnsi="Times New Roman" w:eastAsia="仿宋_GB2312" w:cs="Times New Roman"/>
          <w:sz w:val="32"/>
          <w:szCs w:val="36"/>
          <w:lang w:eastAsia="zh-CN"/>
        </w:rPr>
        <w:t>公司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(Münchener Rückversicherungs-Gesellschaft Aktiengesellschaft in München)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 xml:space="preserve">住 </w:t>
      </w:r>
      <w:r>
        <w:rPr>
          <w:rFonts w:hint="eastAsia" w:ascii="Times New Roman" w:hAnsi="Times New Roman" w:eastAsia="黑体" w:cs="Times New Roman"/>
          <w:color w:val="auto"/>
          <w:kern w:val="2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所：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-SA"/>
        </w:rPr>
        <w:t>德国慕尼黑国王街107号</w:t>
      </w:r>
    </w:p>
    <w:p>
      <w:pPr>
        <w:pStyle w:val="3"/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after="0" w:line="594" w:lineRule="exact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根据《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中华人民共和国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反垄断法》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（以下简称《反垄断法》）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《经营者集中审查暂行规定》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，本机关于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2021年</w:t>
      </w:r>
      <w:r>
        <w:rPr>
          <w:rFonts w:hint="eastAsia" w:eastAsia="仿宋_GB2312" w:cs="Times New Roman"/>
          <w:color w:val="auto"/>
          <w:sz w:val="32"/>
          <w:szCs w:val="32"/>
          <w:lang w:val="en-US" w:eastAsia="zh-CN"/>
        </w:rPr>
        <w:t>10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月1</w:t>
      </w:r>
      <w:r>
        <w:rPr>
          <w:rFonts w:hint="eastAsia" w:eastAsia="仿宋_GB2312" w:cs="Times New Roman"/>
          <w:color w:val="auto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</w:rPr>
        <w:t>日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对</w:t>
      </w:r>
      <w:r>
        <w:rPr>
          <w:rFonts w:hint="eastAsia" w:ascii="Times New Roman" w:hAnsi="Times New Roman" w:eastAsia="仿宋_GB2312" w:cs="Times New Roman"/>
          <w:sz w:val="32"/>
          <w:szCs w:val="36"/>
          <w:lang w:val="en-US" w:eastAsia="zh-CN"/>
        </w:rPr>
        <w:t>慕尼黑再保险</w:t>
      </w:r>
      <w:r>
        <w:rPr>
          <w:rFonts w:hint="eastAsia" w:ascii="Times New Roman" w:hAnsi="Times New Roman" w:eastAsia="仿宋_GB2312" w:cs="Times New Roman"/>
          <w:sz w:val="32"/>
          <w:szCs w:val="36"/>
          <w:lang w:eastAsia="zh-CN"/>
        </w:rPr>
        <w:t>公司</w:t>
      </w:r>
      <w:r>
        <w:rPr>
          <w:rFonts w:hint="default" w:ascii="Times New Roman" w:hAnsi="Times New Roman" w:eastAsia="仿宋_GB2312" w:cs="Times New Roman"/>
          <w:sz w:val="32"/>
          <w:szCs w:val="36"/>
        </w:rPr>
        <w:t>（以下简称</w:t>
      </w:r>
      <w:r>
        <w:rPr>
          <w:rFonts w:hint="eastAsia" w:ascii="Times New Roman" w:hAnsi="Times New Roman" w:eastAsia="仿宋_GB2312" w:cs="Times New Roman"/>
          <w:sz w:val="32"/>
          <w:szCs w:val="36"/>
          <w:lang w:val="en-US" w:eastAsia="zh-CN"/>
        </w:rPr>
        <w:t>慕尼黑再保险</w:t>
      </w:r>
      <w:r>
        <w:rPr>
          <w:rFonts w:hint="default" w:ascii="Times New Roman" w:hAnsi="Times New Roman" w:eastAsia="仿宋_GB2312" w:cs="Times New Roman"/>
          <w:sz w:val="32"/>
          <w:szCs w:val="36"/>
        </w:rPr>
        <w:t>）</w:t>
      </w:r>
      <w:r>
        <w:rPr>
          <w:rFonts w:hint="eastAsia" w:ascii="Times New Roman" w:hAnsi="Times New Roman" w:eastAsia="仿宋_GB2312" w:cs="Times New Roman"/>
          <w:sz w:val="32"/>
          <w:szCs w:val="36"/>
          <w:lang w:eastAsia="zh-CN"/>
        </w:rPr>
        <w:t>收购</w:t>
      </w:r>
      <w:r>
        <w:rPr>
          <w:rFonts w:hint="eastAsia" w:ascii="Times New Roman" w:hAnsi="Times New Roman" w:eastAsia="仿宋_GB2312" w:cs="Times New Roman"/>
          <w:sz w:val="32"/>
          <w:szCs w:val="36"/>
          <w:lang w:val="en-US" w:eastAsia="zh-CN"/>
        </w:rPr>
        <w:t>卡万塔欧洲资产</w:t>
      </w:r>
      <w:r>
        <w:rPr>
          <w:rFonts w:hint="eastAsia" w:ascii="Times New Roman" w:hAnsi="Times New Roman" w:eastAsia="仿宋_GB2312" w:cs="Times New Roman"/>
          <w:sz w:val="32"/>
          <w:szCs w:val="36"/>
          <w:lang w:eastAsia="zh-CN"/>
        </w:rPr>
        <w:t>有限公司（</w:t>
      </w:r>
      <w:r>
        <w:rPr>
          <w:rFonts w:hint="default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Covanta Europe Assets Limited</w:t>
      </w:r>
      <w:r>
        <w:rPr>
          <w:rFonts w:hint="eastAsia" w:ascii="Times New Roman" w:hAnsi="Times New Roman" w:eastAsia="仿宋_GB2312" w:cs="Times New Roman"/>
          <w:b w:val="0"/>
          <w:bCs/>
          <w:sz w:val="32"/>
          <w:szCs w:val="32"/>
          <w:lang w:val="en-US" w:eastAsia="zh-CN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6"/>
          <w:lang w:eastAsia="zh-CN"/>
        </w:rPr>
        <w:t>以下简称</w:t>
      </w:r>
      <w:r>
        <w:rPr>
          <w:rFonts w:hint="eastAsia" w:ascii="Times New Roman" w:hAnsi="Times New Roman" w:eastAsia="仿宋_GB2312" w:cs="Times New Roman"/>
          <w:sz w:val="32"/>
          <w:szCs w:val="36"/>
          <w:lang w:val="en-US" w:eastAsia="zh-CN"/>
        </w:rPr>
        <w:t>卡万塔</w:t>
      </w:r>
      <w:r>
        <w:rPr>
          <w:rFonts w:hint="eastAsia" w:ascii="Times New Roman" w:hAnsi="Times New Roman" w:eastAsia="仿宋_GB2312" w:cs="Times New Roman"/>
          <w:sz w:val="32"/>
          <w:szCs w:val="36"/>
          <w:lang w:eastAsia="zh-CN"/>
        </w:rPr>
        <w:t>）股权</w:t>
      </w:r>
      <w:r>
        <w:rPr>
          <w:rFonts w:hint="default" w:ascii="Times New Roman" w:hAnsi="Times New Roman" w:eastAsia="仿宋_GB2312" w:cs="Times New Roman"/>
          <w:color w:val="auto"/>
          <w:sz w:val="32"/>
          <w:lang w:val="en-US" w:eastAsia="zh-CN"/>
        </w:rPr>
        <w:t>涉嫌未依法申报违法实施经营者集中案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进行立案调查。</w:t>
      </w:r>
    </w:p>
    <w:p>
      <w:pPr>
        <w:keepNext w:val="0"/>
        <w:keepLines w:val="0"/>
        <w:pageBreakBefore w:val="0"/>
        <w:widowControl w:val="0"/>
        <w:suppressLineNumbers w:val="0"/>
        <w:suppressAutoHyphens/>
        <w:kinsoku/>
        <w:wordWrap/>
        <w:overflowPunct w:val="0"/>
        <w:topLinePunct w:val="0"/>
        <w:bidi w:val="0"/>
        <w:adjustRightInd w:val="0"/>
        <w:snapToGrid/>
        <w:spacing w:before="0" w:beforeAutospacing="0" w:afterAutospacing="0" w:line="594" w:lineRule="exact"/>
        <w:ind w:left="0" w:right="0" w:firstLine="628" w:firstLineChars="200"/>
        <w:jc w:val="left"/>
        <w:textAlignment w:val="auto"/>
        <w:outlineLvl w:val="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经查，该案构成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未依法申报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违法实施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eastAsia="zh-CN"/>
        </w:rPr>
        <w:t>的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经营者集中，但不具有排除、限制竞争的效果。本机关按照《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中华人民共和国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行政处罚法》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（以下简称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《行政处罚法》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）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的规定，向</w:t>
      </w:r>
      <w:r>
        <w:rPr>
          <w:rFonts w:hint="eastAsia" w:ascii="Times New Roman" w:hAnsi="Times New Roman" w:eastAsia="仿宋_GB2312" w:cs="Times New Roman"/>
          <w:sz w:val="32"/>
          <w:szCs w:val="36"/>
          <w:lang w:val="en-US" w:eastAsia="zh-CN"/>
        </w:rPr>
        <w:t>慕尼黑再保险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送达了《行政处罚告知书》，告知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拟作出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的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行政处罚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内容及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事实、理由、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依据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，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并告知当事人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依法享有的陈述、申辩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要求听证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的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权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利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。</w:t>
      </w:r>
      <w:r>
        <w:rPr>
          <w:rFonts w:hint="eastAsia" w:ascii="Times New Roman" w:hAnsi="Times New Roman" w:eastAsia="仿宋_GB2312" w:cs="Times New Roman"/>
          <w:sz w:val="32"/>
          <w:szCs w:val="36"/>
          <w:lang w:val="en-US" w:eastAsia="zh-CN"/>
        </w:rPr>
        <w:t>慕尼黑再保险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 w:bidi="ar"/>
        </w:rPr>
        <w:t>书面来函放弃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"/>
        </w:rPr>
        <w:t>陈述、申辩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 w:bidi="ar"/>
        </w:rPr>
        <w:t>和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"/>
        </w:rPr>
        <w:t>要求听证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 w:bidi="ar"/>
        </w:rPr>
        <w:t>的权利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 w:bidi="ar"/>
        </w:rPr>
        <w:t>。本案现已调查、审理终结。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outlineLvl w:val="9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一、基本情况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（一）交易方。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topLinePunct w:val="0"/>
        <w:bidi w:val="0"/>
        <w:adjustRightInd w:val="0"/>
        <w:snapToGrid w:val="0"/>
        <w:spacing w:after="0"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/>
          <w:bCs/>
          <w:color w:val="000000" w:themeColor="text1"/>
          <w:sz w:val="32"/>
          <w14:textFill>
            <w14:solidFill>
              <w14:schemeClr w14:val="tx1"/>
            </w14:solidFill>
          </w14:textFill>
        </w:rPr>
        <w:t>收购方：</w:t>
      </w:r>
      <w:r>
        <w:rPr>
          <w:rFonts w:hint="eastAsia" w:ascii="Times New Roman" w:hAnsi="Times New Roman" w:eastAsia="仿宋_GB2312" w:cs="Times New Roman"/>
          <w:b/>
          <w:bCs/>
          <w:color w:val="000000" w:themeColor="text1"/>
          <w:sz w:val="32"/>
          <w14:textFill>
            <w14:solidFill>
              <w14:schemeClr w14:val="tx1"/>
            </w14:solidFill>
          </w14:textFill>
        </w:rPr>
        <w:t>慕尼黑再保险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sz w:val="32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1880年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4月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于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德国注册成立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1888年在法兰克福证券交易所上市，股权结构分散，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无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最终控制人，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主要提供再保险业务、保险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业务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、保险辅助风险解决方案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2018年全球营业额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为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略）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人民币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币种下同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），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中国境内营业额为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略）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topLinePunct w:val="0"/>
        <w:bidi w:val="0"/>
        <w:adjustRightInd w:val="0"/>
        <w:snapToGrid w:val="0"/>
        <w:spacing w:after="0" w:line="594" w:lineRule="exact"/>
        <w:ind w:firstLine="628" w:firstLineChars="200"/>
        <w:textAlignment w:val="auto"/>
        <w:rPr>
          <w:rFonts w:hint="eastAsia" w:ascii="Times New Roman" w:hAnsi="Times New Roman" w:eastAsia="仿宋_GB2312" w:cs="Times New Roman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/>
          <w:bCs/>
          <w:color w:val="000000" w:themeColor="text1"/>
          <w:sz w:val="32"/>
          <w14:textFill>
            <w14:solidFill>
              <w14:schemeClr w14:val="tx1"/>
            </w14:solidFill>
          </w14:textFill>
        </w:rPr>
        <w:t>被收购方：</w:t>
      </w:r>
      <w:r>
        <w:rPr>
          <w:rFonts w:hint="eastAsia" w:ascii="Times New Roman" w:hAnsi="Times New Roman" w:eastAsia="仿宋_GB2312" w:cs="Times New Roman"/>
          <w:b/>
          <w:bCs/>
          <w:color w:val="000000" w:themeColor="text1"/>
          <w:sz w:val="32"/>
          <w14:textFill>
            <w14:solidFill>
              <w14:schemeClr w14:val="tx1"/>
            </w14:solidFill>
          </w14:textFill>
        </w:rPr>
        <w:t>卡万塔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2017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11月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于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英国注册成立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交易前由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绿色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14:textFill>
            <w14:solidFill>
              <w14:schemeClr w14:val="tx1"/>
            </w14:solidFill>
          </w14:textFill>
        </w:rPr>
        <w:t>投资集团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有限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14:textFill>
            <w14:solidFill>
              <w14:schemeClr w14:val="tx1"/>
            </w14:solidFill>
          </w14:textFill>
        </w:rPr>
        <w:t>公司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以下简称绿投集团，持股10%）、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DIF基础设施第五有限公司（以下简称DIF，持股40%）和卡万塔控股公司（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以下简称</w:t>
      </w:r>
      <w:r>
        <w:rPr>
          <w:rFonts w:hint="eastAsia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卡万塔控股，持股50%）三方共同控制，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主要在爱尔兰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境内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从事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垃圾焚烧发电业务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2018年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全球营业额为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略），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中国境内营业额为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略）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topLinePunct w:val="0"/>
        <w:bidi w:val="0"/>
        <w:adjustRightInd w:val="0"/>
        <w:snapToGrid w:val="0"/>
        <w:spacing w:after="0" w:line="594" w:lineRule="exact"/>
        <w:ind w:firstLine="628" w:firstLineChars="200"/>
        <w:textAlignment w:val="auto"/>
        <w:rPr>
          <w:rFonts w:hint="eastAsia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b/>
          <w:bCs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参与集中的其他经营者之一</w:t>
      </w:r>
      <w:r>
        <w:rPr>
          <w:rFonts w:hint="eastAsia" w:ascii="Times New Roman" w:hAnsi="Times New Roman" w:eastAsia="仿宋_GB2312" w:cs="Times New Roman"/>
          <w:b/>
          <w:bCs/>
          <w:color w:val="000000" w:themeColor="text1"/>
          <w:sz w:val="32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Times New Roman" w:hAnsi="Times New Roman" w:eastAsia="仿宋_GB2312" w:cs="Times New Roman"/>
          <w:b/>
          <w:bCs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绿投集团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sz w:val="32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201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8月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于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英国注册成立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，最终控制人是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麦格理集团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有限公司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主要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从事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绿色基础设施主体投资、项目交付和组合资产管理相关服务业务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。2018年全球营业额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为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略）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，中国境内营业额为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略）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14:textFill>
            <w14:solidFill>
              <w14:schemeClr w14:val="tx1"/>
            </w14:solidFill>
          </w14:textFill>
        </w:rPr>
        <w:t>。</w:t>
      </w:r>
      <w:r>
        <w:rPr>
          <w:rFonts w:hint="eastAsia" w:eastAsia="仿宋_GB2312" w:cs="Times New Roman"/>
          <w:sz w:val="32"/>
          <w:szCs w:val="32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（二）交易概况。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topLinePunct w:val="0"/>
        <w:bidi w:val="0"/>
        <w:snapToGrid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bCs/>
          <w:color w:val="auto"/>
          <w:sz w:val="32"/>
          <w:szCs w:val="36"/>
        </w:rPr>
      </w:pPr>
      <w:r>
        <w:rPr>
          <w:rFonts w:hint="default" w:ascii="Times New Roman" w:hAnsi="Times New Roman" w:cs="Times New Roman"/>
          <w:color w:val="auto"/>
          <w:sz w:val="32"/>
          <w:szCs w:val="32"/>
          <w:lang w:eastAsia="zh-CN"/>
        </w:rPr>
        <w:t>该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交易系</w:t>
      </w:r>
      <w:r>
        <w:rPr>
          <w:rFonts w:hint="eastAsia" w:ascii="Times New Roman" w:hAnsi="Times New Roman" w:cs="Times New Roman"/>
          <w:color w:val="auto"/>
          <w:sz w:val="32"/>
          <w:szCs w:val="32"/>
          <w:lang w:val="en-US" w:eastAsia="zh-CN"/>
        </w:rPr>
        <w:t>股权收购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</w:rPr>
        <w:t>20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19</w:t>
      </w:r>
      <w:r>
        <w:rPr>
          <w:rFonts w:hint="default" w:ascii="Times New Roman" w:hAnsi="Times New Roman" w:eastAsia="仿宋_GB2312" w:cs="Times New Roman"/>
          <w:sz w:val="32"/>
        </w:rPr>
        <w:t>年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7</w:t>
      </w:r>
      <w:r>
        <w:rPr>
          <w:rFonts w:hint="default" w:ascii="Times New Roman" w:hAnsi="Times New Roman" w:eastAsia="仿宋_GB2312" w:cs="Times New Roman"/>
          <w:sz w:val="32"/>
        </w:rPr>
        <w:t>月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26</w:t>
      </w:r>
      <w:r>
        <w:rPr>
          <w:rFonts w:hint="default" w:ascii="Times New Roman" w:hAnsi="Times New Roman" w:eastAsia="仿宋_GB2312" w:cs="Times New Roman"/>
          <w:sz w:val="32"/>
        </w:rPr>
        <w:t>日，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慕尼黑再保险与DIF签署《股权转让协议》，以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略）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取得DIF原持有的卡万塔15%股权，并取得共同控制权。2019年</w:t>
      </w:r>
      <w:r>
        <w:rPr>
          <w:rFonts w:hint="eastAsia" w:ascii="Times New Roman" w:hAnsi="Times New Roman" w:eastAsia="仿宋_GB2312" w:cs="Times New Roman"/>
          <w:color w:val="auto"/>
          <w:sz w:val="32"/>
          <w:lang w:val="en-US" w:eastAsia="zh-CN"/>
        </w:rPr>
        <w:t>12月4日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，卡万塔完成股权变更登记手续。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二、违法事实及理由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（一）本案构成</w:t>
      </w: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  <w:lang w:eastAsia="zh-CN"/>
        </w:rPr>
        <w:t>未依法申报</w:t>
      </w: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违法实施的经营者集中。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left="0" w:leftChars="0" w:firstLine="628" w:firstLineChars="200"/>
        <w:textAlignment w:val="auto"/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</w:rPr>
        <w:t>《反垄断法》第二十条规定“经营者集中是指下列情形：（一）经营者合并；（二）经营者通过取得股权或者资产的方式取得对其他经营者的控制权；（三）经营者通过合同等方式取得</w:t>
      </w:r>
      <w:r>
        <w:rPr>
          <w:rFonts w:hint="default" w:ascii="Times New Roman" w:hAnsi="Times New Roman" w:eastAsia="仿宋_GB2312" w:cs="Times New Roman"/>
          <w:bCs/>
          <w:color w:val="auto"/>
          <w:sz w:val="32"/>
          <w:szCs w:val="32"/>
          <w:lang w:val="en-US" w:eastAsia="zh-CN"/>
        </w:rPr>
        <w:t>对其他经营者的控制权或者能够对其他经营者施加决定性影响”。</w:t>
      </w:r>
      <w:r>
        <w:rPr>
          <w:rFonts w:hint="default" w:ascii="Times New Roman" w:hAnsi="Times New Roman" w:eastAsia="仿宋_GB2312" w:cs="Times New Roman"/>
          <w:sz w:val="32"/>
        </w:rPr>
        <w:t>20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19</w:t>
      </w:r>
      <w:r>
        <w:rPr>
          <w:rFonts w:hint="default" w:ascii="Times New Roman" w:hAnsi="Times New Roman" w:eastAsia="仿宋_GB2312" w:cs="Times New Roman"/>
          <w:sz w:val="32"/>
        </w:rPr>
        <w:t>年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7</w:t>
      </w:r>
      <w:r>
        <w:rPr>
          <w:rFonts w:hint="default" w:ascii="Times New Roman" w:hAnsi="Times New Roman" w:eastAsia="仿宋_GB2312" w:cs="Times New Roman"/>
          <w:sz w:val="32"/>
        </w:rPr>
        <w:t>月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26</w:t>
      </w:r>
      <w:r>
        <w:rPr>
          <w:rFonts w:hint="default" w:ascii="Times New Roman" w:hAnsi="Times New Roman" w:eastAsia="仿宋_GB2312" w:cs="Times New Roman"/>
          <w:sz w:val="32"/>
        </w:rPr>
        <w:t>日</w:t>
      </w:r>
      <w:r>
        <w:rPr>
          <w:rFonts w:hint="default" w:ascii="Times New Roman" w:hAnsi="Times New Roman" w:eastAsia="仿宋_GB2312" w:cs="Times New Roman"/>
          <w:bCs/>
          <w:sz w:val="32"/>
          <w:szCs w:val="32"/>
        </w:rPr>
        <w:t>，</w:t>
      </w:r>
      <w:r>
        <w:rPr>
          <w:rFonts w:hint="eastAsia" w:ascii="Times New Roman" w:hAnsi="Times New Roman" w:eastAsia="仿宋_GB2312" w:cs="Times New Roman"/>
          <w:color w:val="auto"/>
          <w:sz w:val="32"/>
          <w:lang w:val="en-US" w:eastAsia="zh-CN"/>
        </w:rPr>
        <w:t>慕尼黑再保险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收购卡万塔15%股权</w:t>
      </w:r>
      <w:r>
        <w:rPr>
          <w:rFonts w:hint="eastAsia" w:eastAsia="仿宋_GB2312" w:cs="Times New Roman"/>
          <w:sz w:val="32"/>
          <w:lang w:val="en-US" w:eastAsia="zh-CN"/>
        </w:rPr>
        <w:t>，并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取得共同控制权，</w:t>
      </w:r>
      <w:r>
        <w:rPr>
          <w:rFonts w:hint="default" w:ascii="Times New Roman" w:hAnsi="Times New Roman" w:eastAsia="仿宋_GB2312" w:cs="Times New Roman"/>
          <w:bCs/>
          <w:sz w:val="32"/>
          <w:szCs w:val="36"/>
        </w:rPr>
        <w:t>属于《反垄断法》第二十条规定的经营者集中。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bCs/>
          <w:sz w:val="32"/>
        </w:rPr>
      </w:pPr>
      <w:r>
        <w:rPr>
          <w:rFonts w:hint="default" w:ascii="Times New Roman" w:hAnsi="Times New Roman" w:eastAsia="仿宋_GB2312" w:cs="Times New Roman"/>
          <w:bCs/>
          <w:sz w:val="32"/>
        </w:rPr>
        <w:t>201</w:t>
      </w:r>
      <w:r>
        <w:rPr>
          <w:rFonts w:hint="eastAsia" w:ascii="Times New Roman" w:hAnsi="Times New Roman" w:eastAsia="仿宋_GB2312" w:cs="Times New Roman"/>
          <w:bCs/>
          <w:sz w:val="32"/>
          <w:lang w:val="en-US" w:eastAsia="zh-CN"/>
        </w:rPr>
        <w:t>8</w:t>
      </w:r>
      <w:r>
        <w:rPr>
          <w:rFonts w:hint="default" w:ascii="Times New Roman" w:hAnsi="Times New Roman" w:eastAsia="仿宋_GB2312" w:cs="Times New Roman"/>
          <w:bCs/>
          <w:sz w:val="32"/>
        </w:rPr>
        <w:t>年</w:t>
      </w:r>
      <w:r>
        <w:rPr>
          <w:rFonts w:hint="eastAsia" w:ascii="Times New Roman" w:hAnsi="Times New Roman" w:eastAsia="仿宋_GB2312" w:cs="Times New Roman"/>
          <w:bCs/>
          <w:sz w:val="32"/>
          <w:lang w:val="en-US" w:eastAsia="zh-CN"/>
        </w:rPr>
        <w:t>度，慕尼黑再保险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全球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营业额为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略）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中国境内营业额为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略）</w:t>
      </w:r>
      <w:r>
        <w:rPr>
          <w:rFonts w:hint="eastAsia" w:ascii="Times New Roman" w:hAnsi="Times New Roman" w:eastAsia="仿宋_GB2312" w:cs="Times New Roman"/>
          <w:bCs/>
          <w:sz w:val="32"/>
          <w:lang w:eastAsia="zh-CN"/>
        </w:rPr>
        <w:t>；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参与集中的其他经营者之一绿投集团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全球营业额为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略）</w:t>
      </w:r>
      <w:r>
        <w:rPr>
          <w:rFonts w:hint="default" w:ascii="Times New Roman" w:hAnsi="Times New Roman" w:eastAsia="仿宋_GB2312" w:cs="Times New Roman"/>
          <w:bCs/>
          <w:sz w:val="32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中国境内营业额为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略）</w:t>
      </w: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bCs/>
          <w:sz w:val="32"/>
        </w:rPr>
        <w:t>达到《国务院关于经营者集中申报标准的规定》第三条规定的申报标准，属于应当申报的情形。</w:t>
      </w:r>
      <w:bookmarkStart w:id="0" w:name="_GoBack"/>
      <w:bookmarkEnd w:id="0"/>
    </w:p>
    <w:p>
      <w:pPr>
        <w:pStyle w:val="5"/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spacing w:before="0" w:beforeAutospacing="0" w:after="0" w:afterAutospacing="0" w:line="594" w:lineRule="exact"/>
        <w:ind w:firstLine="628" w:firstLineChars="200"/>
        <w:jc w:val="both"/>
        <w:textAlignment w:val="auto"/>
        <w:outlineLvl w:val="9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《反垄断法》第二十一条规定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eastAsia="zh-CN"/>
        </w:rPr>
        <w:t>“经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</w:rPr>
        <w:t>营者集中达到国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u w:val="none"/>
          <w:lang w:val="en-US" w:eastAsia="zh-CN" w:bidi="ar-SA"/>
        </w:rPr>
        <w:t>务院规定的申报标准的，经营者应当事先向国务院反垄断执法机构申报，未申报的不得实施集中”。</w:t>
      </w:r>
      <w:r>
        <w:rPr>
          <w:rFonts w:hint="eastAsia" w:ascii="Times New Roman" w:hAnsi="Times New Roman" w:eastAsia="仿宋_GB2312" w:cs="Times New Roman"/>
          <w:sz w:val="32"/>
          <w:lang w:val="en-US" w:eastAsia="zh-CN"/>
        </w:rPr>
        <w:t>2019年12月4日</w:t>
      </w:r>
      <w:r>
        <w:rPr>
          <w:rFonts w:hint="default" w:ascii="Times New Roman" w:hAnsi="Times New Roman" w:eastAsia="仿宋_GB2312" w:cs="Times New Roman"/>
          <w:bCs/>
          <w:sz w:val="32"/>
          <w:szCs w:val="36"/>
        </w:rPr>
        <w:t>，</w:t>
      </w:r>
      <w:r>
        <w:rPr>
          <w:rFonts w:hint="eastAsia" w:ascii="Times New Roman" w:hAnsi="Times New Roman" w:eastAsia="仿宋_GB2312" w:cs="Times New Roman"/>
          <w:bCs/>
          <w:sz w:val="32"/>
          <w:szCs w:val="36"/>
          <w:lang w:val="en-US" w:eastAsia="zh-CN"/>
        </w:rPr>
        <w:t>卡万塔</w:t>
      </w:r>
      <w:r>
        <w:rPr>
          <w:rFonts w:hint="eastAsia" w:ascii="Times New Roman" w:hAnsi="Times New Roman" w:eastAsia="仿宋_GB2312" w:cs="Times New Roman"/>
          <w:bCs/>
          <w:sz w:val="32"/>
          <w:szCs w:val="36"/>
          <w:lang w:eastAsia="zh-CN"/>
        </w:rPr>
        <w:t>完成股权变更登记</w:t>
      </w:r>
      <w:r>
        <w:rPr>
          <w:rFonts w:hint="default" w:ascii="Times New Roman" w:hAnsi="Times New Roman" w:eastAsia="仿宋_GB2312" w:cs="Times New Roman"/>
          <w:bCs/>
          <w:sz w:val="32"/>
          <w:szCs w:val="36"/>
        </w:rPr>
        <w:t>，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</w:rPr>
        <w:t>在此之前未</w:t>
      </w:r>
      <w:r>
        <w:rPr>
          <w:rFonts w:hint="eastAsia" w:ascii="Times New Roman" w:hAnsi="Times New Roman" w:eastAsia="仿宋_GB2312" w:cs="Times New Roman"/>
          <w:bCs/>
          <w:kern w:val="2"/>
          <w:sz w:val="32"/>
          <w:szCs w:val="32"/>
          <w:lang w:val="en-US" w:eastAsia="zh-CN"/>
        </w:rPr>
        <w:t>依法</w:t>
      </w:r>
      <w:r>
        <w:rPr>
          <w:rFonts w:hint="default" w:ascii="Times New Roman" w:hAnsi="Times New Roman" w:eastAsia="仿宋_GB2312" w:cs="Times New Roman"/>
          <w:bCs/>
          <w:kern w:val="2"/>
          <w:sz w:val="32"/>
          <w:szCs w:val="32"/>
        </w:rPr>
        <w:t>申报，违反《反垄断法》第二十一条，构成违法实施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的经营者集中。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auto"/>
          <w:kern w:val="2"/>
          <w:sz w:val="32"/>
          <w:szCs w:val="32"/>
        </w:rPr>
        <w:t>（二）本案不具有排除、限制竞争的效果。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left="0" w:leftChars="0" w:firstLine="628" w:firstLineChars="200"/>
        <w:textAlignment w:val="auto"/>
        <w:outlineLvl w:val="0"/>
        <w:rPr>
          <w:rFonts w:hint="default" w:ascii="Times New Roman" w:hAnsi="Times New Roman" w:eastAsia="仿宋_GB2312" w:cs="Times New Roman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本机关就</w:t>
      </w:r>
      <w:r>
        <w:rPr>
          <w:rFonts w:hint="eastAsia" w:ascii="Times New Roman" w:hAnsi="Times New Roman" w:eastAsia="仿宋_GB2312" w:cs="Times New Roman"/>
          <w:bCs/>
          <w:sz w:val="32"/>
          <w:lang w:val="en-US" w:eastAsia="zh-CN"/>
        </w:rPr>
        <w:t>慕尼黑再保险收购卡万塔股权</w:t>
      </w:r>
      <w:r>
        <w:rPr>
          <w:rFonts w:hint="default" w:ascii="Times New Roman" w:hAnsi="Times New Roman" w:eastAsia="仿宋_GB2312" w:cs="Times New Roman"/>
          <w:kern w:val="2"/>
          <w:sz w:val="32"/>
          <w:szCs w:val="32"/>
        </w:rPr>
        <w:t>对市场竞争的影响进行了评估，评估认为，该项经营者集中不会产生排除、限制竞争的效果。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auto"/>
          <w:kern w:val="2"/>
          <w:sz w:val="32"/>
          <w:szCs w:val="32"/>
        </w:rPr>
        <w:t>三、行政处罚依据和决定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16" w:firstLineChars="196"/>
        <w:textAlignment w:val="auto"/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《反垄断法》第四十八条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规定“经营者违反本法规定实施集中的，由国务院反垄断执法机构责令停止实施集中、限期处分股份或者资产、限期转让营业以及采取其他必要措施恢复到集中前的状态，可以处五十万元以下的罚款”。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《反垄断法》第四十九条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规定“对本法第四十六条、第四十七条、第四十八条规定的罚款，反垄断执法机构确定具体罚款数额时，应当考虑违法行为的性质、程度和持续的时间等因素”。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根据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上述规定，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基于调查情况和评估结论，本机关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决定给予</w:t>
      </w:r>
      <w:r>
        <w:rPr>
          <w:rFonts w:hint="eastAsia" w:ascii="Times New Roman" w:hAnsi="Times New Roman" w:eastAsia="仿宋_GB2312" w:cs="Times New Roman"/>
          <w:bCs/>
          <w:sz w:val="32"/>
          <w:lang w:val="en-US" w:eastAsia="zh-CN"/>
        </w:rPr>
        <w:t>慕尼黑再保险</w:t>
      </w:r>
      <w:r>
        <w:rPr>
          <w:rFonts w:hint="eastAsia" w:eastAsia="仿宋_GB2312" w:cs="Times New Roman"/>
          <w:bCs/>
          <w:color w:val="auto"/>
          <w:sz w:val="32"/>
          <w:szCs w:val="32"/>
          <w:lang w:val="en-US" w:eastAsia="zh-CN"/>
        </w:rPr>
        <w:t>3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0万元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  <w:lang w:eastAsia="zh-CN"/>
        </w:rPr>
        <w:t>罚款</w:t>
      </w:r>
      <w:r>
        <w:rPr>
          <w:rFonts w:hint="default" w:ascii="Times New Roman" w:hAnsi="Times New Roman" w:eastAsia="仿宋_GB2312" w:cs="Times New Roman"/>
          <w:bCs/>
          <w:color w:val="auto"/>
          <w:kern w:val="2"/>
          <w:sz w:val="32"/>
          <w:szCs w:val="32"/>
        </w:rPr>
        <w:t>的行政处罚。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《行政处罚法》第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六十七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条规定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“作出罚款决定的行政机关应当与收缴罚款的机构分离。除依照本法第六十八条、第六十九条的规定当场收缴的罚款外，作出行政处罚决定的行政机关及其执法人员不得自行收缴罚款。当事人应当自收到行政处罚决定书之日起十五日内，到指定的银行或者通过电子支付系统缴纳罚款。银行应当收受罚款，并将罚款直接上缴国库”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应当自收到本行政处罚决定书之日起十五日内，携缴款码到1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家中央财政非税收入收缴代理银行（工、农、中、建、交、中信、光大、招商、邮储、华夏、平安、兴业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、民生、广发、浙商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）任一银行网点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网上银行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缴纳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罚款。缴款码：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0000002103730866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 w:val="0"/>
        <w:topLinePunct w:val="0"/>
        <w:autoSpaceDE w:val="0"/>
        <w:autoSpaceDN w:val="0"/>
        <w:bidi w:val="0"/>
        <w:adjustRightInd w:val="0"/>
        <w:spacing w:line="594" w:lineRule="exact"/>
        <w:ind w:firstLine="628" w:firstLineChars="20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eastAsia="zh-CN"/>
        </w:rPr>
        <w:t>当事人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 xml:space="preserve">如对上述行政处罚决定不服，可以自收到本行政处罚决定书之日起六十日内，向国家市场监督管理总局申请行政复议；或者自收到本行政处罚决定书之日起六个月内，依法向人民法院提起行政诉讼。行政复议或者行政诉讼期间，本行政处罚决定不停止执行。 </w:t>
      </w:r>
    </w:p>
    <w:p>
      <w:pPr>
        <w:pStyle w:val="3"/>
        <w:keepNext w:val="0"/>
        <w:keepLines w:val="0"/>
        <w:pageBreakBefore w:val="0"/>
        <w:widowControl w:val="0"/>
        <w:kinsoku/>
        <w:wordWrap/>
        <w:topLinePunct w:val="0"/>
        <w:bidi w:val="0"/>
        <w:spacing w:after="0" w:line="594" w:lineRule="exact"/>
        <w:textAlignment w:val="auto"/>
        <w:rPr>
          <w:rFonts w:hint="default" w:ascii="Times New Roman" w:hAnsi="Times New Roman" w:cs="Times New Roman"/>
          <w:color w:val="auto"/>
        </w:rPr>
      </w:pP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 w:val="0"/>
        <w:spacing w:line="594" w:lineRule="exact"/>
        <w:ind w:firstLine="5433" w:firstLineChars="1730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市场监管总局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napToGrid w:val="0"/>
        <w:spacing w:line="594" w:lineRule="exact"/>
        <w:ind w:firstLine="5225" w:firstLineChars="1664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202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年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月</w:t>
      </w:r>
      <w:r>
        <w:rPr>
          <w:rFonts w:hint="eastAsia" w:eastAsia="仿宋_GB2312" w:cs="Times New Roman"/>
          <w:color w:val="auto"/>
          <w:kern w:val="2"/>
          <w:sz w:val="32"/>
          <w:szCs w:val="32"/>
          <w:lang w:val="en-US" w:eastAsia="zh-CN"/>
        </w:rPr>
        <w:t>25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topLinePunct w:val="0"/>
        <w:bidi w:val="0"/>
        <w:spacing w:line="594" w:lineRule="exact"/>
        <w:ind w:firstLine="628" w:firstLineChars="200"/>
        <w:textAlignment w:val="auto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</w:rPr>
        <w:t>（此件公开发布）</w:t>
      </w:r>
    </w:p>
    <w:sectPr>
      <w:footerReference r:id="rId3" w:type="default"/>
      <w:footerReference r:id="rId4" w:type="even"/>
      <w:pgSz w:w="11906" w:h="16838"/>
      <w:pgMar w:top="1440" w:right="1803" w:bottom="1440" w:left="1803" w:header="851" w:footer="1814" w:gutter="0"/>
      <w:cols w:space="0" w:num="1"/>
      <w:rtlGutter w:val="0"/>
      <w:docGrid w:type="linesAndChars" w:linePitch="290" w:charSpace="-1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FangSong_GB2312">
    <w:altName w:val="仿宋_GB2312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ind w:left="315" w:leftChars="150" w:right="315" w:rightChars="150"/>
      <w:rPr>
        <w:rStyle w:val="8"/>
        <w:rFonts w:hint="eastAsia" w:ascii="宋体" w:hAnsi="宋体"/>
        <w:sz w:val="28"/>
        <w:szCs w:val="28"/>
      </w:rPr>
    </w:pPr>
    <w:r>
      <w:rPr>
        <w:rStyle w:val="8"/>
        <w:rFonts w:hint="eastAsia" w:ascii="宋体" w:hAnsi="宋体"/>
        <w:sz w:val="28"/>
        <w:szCs w:val="28"/>
      </w:rPr>
      <w:t xml:space="preserve">— </w:t>
    </w:r>
    <w:r>
      <w:rPr>
        <w:rStyle w:val="8"/>
        <w:rFonts w:ascii="宋体" w:hAnsi="宋体"/>
        <w:sz w:val="28"/>
        <w:szCs w:val="28"/>
      </w:rPr>
      <w:fldChar w:fldCharType="begin"/>
    </w:r>
    <w:r>
      <w:rPr>
        <w:rStyle w:val="8"/>
        <w:rFonts w:ascii="宋体" w:hAnsi="宋体"/>
        <w:sz w:val="28"/>
        <w:szCs w:val="28"/>
      </w:rPr>
      <w:instrText xml:space="preserve">PAGE  </w:instrText>
    </w:r>
    <w:r>
      <w:rPr>
        <w:rStyle w:val="8"/>
        <w:rFonts w:ascii="宋体" w:hAnsi="宋体"/>
        <w:sz w:val="28"/>
        <w:szCs w:val="28"/>
      </w:rPr>
      <w:fldChar w:fldCharType="separate"/>
    </w:r>
    <w:r>
      <w:rPr>
        <w:rStyle w:val="8"/>
        <w:rFonts w:ascii="宋体" w:hAnsi="宋体"/>
        <w:sz w:val="28"/>
        <w:szCs w:val="28"/>
      </w:rPr>
      <w:t>1</w:t>
    </w:r>
    <w:r>
      <w:rPr>
        <w:rStyle w:val="8"/>
        <w:rFonts w:ascii="宋体" w:hAnsi="宋体"/>
        <w:sz w:val="28"/>
        <w:szCs w:val="28"/>
      </w:rPr>
      <w:fldChar w:fldCharType="end"/>
    </w:r>
    <w:r>
      <w:rPr>
        <w:rStyle w:val="8"/>
        <w:rFonts w:hint="eastAsia" w:ascii="宋体" w:hAnsi="宋体"/>
        <w:sz w:val="28"/>
        <w:szCs w:val="28"/>
      </w:rPr>
      <w:t xml:space="preserve"> —</w:t>
    </w:r>
  </w:p>
  <w:p>
    <w:pPr>
      <w:pStyle w:val="4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>
    <w:pPr>
      <w:pStyle w:val="4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4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3570B1"/>
    <w:rsid w:val="0023200C"/>
    <w:rsid w:val="03F1276A"/>
    <w:rsid w:val="045A72EA"/>
    <w:rsid w:val="04772CCF"/>
    <w:rsid w:val="05D15580"/>
    <w:rsid w:val="06DB7938"/>
    <w:rsid w:val="075F674C"/>
    <w:rsid w:val="09AC08F5"/>
    <w:rsid w:val="13F85EFD"/>
    <w:rsid w:val="16657401"/>
    <w:rsid w:val="169767E4"/>
    <w:rsid w:val="173B2FCB"/>
    <w:rsid w:val="18DB1E51"/>
    <w:rsid w:val="192053EE"/>
    <w:rsid w:val="1A156921"/>
    <w:rsid w:val="1B095395"/>
    <w:rsid w:val="1C11264C"/>
    <w:rsid w:val="1D3570B1"/>
    <w:rsid w:val="1ED67F29"/>
    <w:rsid w:val="1F573D93"/>
    <w:rsid w:val="21623065"/>
    <w:rsid w:val="21A54411"/>
    <w:rsid w:val="230C79BC"/>
    <w:rsid w:val="239A0124"/>
    <w:rsid w:val="248D0B39"/>
    <w:rsid w:val="265326DA"/>
    <w:rsid w:val="28C8606C"/>
    <w:rsid w:val="29171A1E"/>
    <w:rsid w:val="2A7A6DC6"/>
    <w:rsid w:val="2B0F6D0F"/>
    <w:rsid w:val="31E778A8"/>
    <w:rsid w:val="33684C36"/>
    <w:rsid w:val="33B94AAA"/>
    <w:rsid w:val="33E16394"/>
    <w:rsid w:val="38043EF0"/>
    <w:rsid w:val="380F1CB8"/>
    <w:rsid w:val="39E75B24"/>
    <w:rsid w:val="3D086E74"/>
    <w:rsid w:val="3FAD2E94"/>
    <w:rsid w:val="4297136E"/>
    <w:rsid w:val="43B84B68"/>
    <w:rsid w:val="44F1186A"/>
    <w:rsid w:val="48A63464"/>
    <w:rsid w:val="49513DE5"/>
    <w:rsid w:val="49F75885"/>
    <w:rsid w:val="4ABC40B8"/>
    <w:rsid w:val="4EF957B9"/>
    <w:rsid w:val="4EFD73AF"/>
    <w:rsid w:val="51075873"/>
    <w:rsid w:val="52A77C54"/>
    <w:rsid w:val="56EA563C"/>
    <w:rsid w:val="5727334E"/>
    <w:rsid w:val="5A3853F1"/>
    <w:rsid w:val="5B1D24D8"/>
    <w:rsid w:val="5BDD2331"/>
    <w:rsid w:val="5C686AC3"/>
    <w:rsid w:val="5D4E6DD5"/>
    <w:rsid w:val="630535E1"/>
    <w:rsid w:val="63432760"/>
    <w:rsid w:val="640E6FE8"/>
    <w:rsid w:val="68197930"/>
    <w:rsid w:val="686D740E"/>
    <w:rsid w:val="6A564164"/>
    <w:rsid w:val="6F712D0C"/>
    <w:rsid w:val="7073388E"/>
    <w:rsid w:val="74782380"/>
    <w:rsid w:val="77B7291D"/>
    <w:rsid w:val="799C3559"/>
    <w:rsid w:val="7A782B89"/>
    <w:rsid w:val="7BDE5B92"/>
    <w:rsid w:val="7CE345AA"/>
    <w:rsid w:val="7D64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spacing w:line="360" w:lineRule="exact"/>
      <w:ind w:firstLine="420" w:firstLineChars="200"/>
    </w:pPr>
    <w:rPr>
      <w:szCs w:val="20"/>
    </w:rPr>
  </w:style>
  <w:style w:type="paragraph" w:styleId="3">
    <w:name w:val="Body Text"/>
    <w:basedOn w:val="1"/>
    <w:unhideWhenUsed/>
    <w:qFormat/>
    <w:uiPriority w:val="0"/>
    <w:pPr>
      <w:spacing w:after="120"/>
    </w:pPr>
    <w:rPr>
      <w:rFonts w:ascii="Calibri" w:hAnsi="Calibri" w:eastAsia="宋体" w:cs="Times New Roman"/>
      <w:szCs w:val="22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page number"/>
    <w:basedOn w:val="7"/>
    <w:qFormat/>
    <w:uiPriority w:val="0"/>
  </w:style>
  <w:style w:type="paragraph" w:customStyle="1" w:styleId="9">
    <w:name w:val="内容"/>
    <w:basedOn w:val="1"/>
    <w:qFormat/>
    <w:uiPriority w:val="0"/>
    <w:pPr>
      <w:suppressAutoHyphens/>
      <w:overflowPunct w:val="0"/>
      <w:autoSpaceDE w:val="0"/>
      <w:autoSpaceDN w:val="0"/>
      <w:adjustRightInd w:val="0"/>
      <w:spacing w:line="360" w:lineRule="auto"/>
      <w:ind w:firstLine="200" w:firstLineChars="200"/>
    </w:pPr>
    <w:rPr>
      <w:rFonts w:ascii="仿宋_GB2312" w:hAnsi="仿宋_GB2312" w:eastAsia="仿宋_GB231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2020-12-10T10:26:00Z</dcterms:created>
  <dc:creator>徐霄飞</dc:creator>
  <cp:lastModifiedBy>倪国宸</cp:lastModifiedBy>
  <cp:lastPrinted>2022-01-19T09:53:00Z</cp:lastPrinted>
  <dcterms:modified xsi:type="dcterms:W3CDTF">2022-02-10T06:45:55Z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