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CBA47E">
      <w:pPr>
        <w:widowControl/>
        <w:spacing w:after="240"/>
        <w:jc w:val="center"/>
        <w:rPr>
          <w:rFonts w:hint="eastAsia" w:ascii="方正小标宋简体" w:hAnsi="方正小标宋简体" w:eastAsia="方正小标宋简体" w:cs="方正小标宋简体"/>
          <w:kern w:val="0"/>
          <w:sz w:val="44"/>
          <w:szCs w:val="44"/>
          <w:lang w:val="en-GB" w:bidi="ar"/>
        </w:rPr>
      </w:pPr>
      <w:bookmarkStart w:id="0" w:name="_GoBack"/>
      <w:r>
        <w:rPr>
          <w:rFonts w:hint="eastAsia" w:ascii="方正小标宋简体" w:hAnsi="方正小标宋简体" w:eastAsia="方正小标宋简体" w:cs="方正小标宋简体"/>
          <w:kern w:val="0"/>
          <w:sz w:val="44"/>
          <w:szCs w:val="44"/>
          <w:lang w:val="en-GB" w:bidi="ar"/>
        </w:rPr>
        <w:t>经营者集中简易案件公示表</w:t>
      </w:r>
    </w:p>
    <w:bookmarkEnd w:id="0"/>
    <w:tbl>
      <w:tblPr>
        <w:tblStyle w:val="3"/>
        <w:tblW w:w="9640" w:type="dxa"/>
        <w:tblInd w:w="-1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0"/>
        <w:gridCol w:w="1476"/>
        <w:gridCol w:w="6224"/>
      </w:tblGrid>
      <w:tr w14:paraId="61B738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6" w:hRule="atLeast"/>
        </w:trPr>
        <w:tc>
          <w:tcPr>
            <w:tcW w:w="1940" w:type="dxa"/>
            <w:shd w:val="clear" w:color="auto" w:fill="D9D9D9"/>
            <w:vAlign w:val="center"/>
          </w:tcPr>
          <w:p w14:paraId="0D62C3E4">
            <w:pPr>
              <w:pStyle w:val="2"/>
              <w:widowControl/>
              <w:adjustRightInd w:val="0"/>
              <w:snapToGrid w:val="0"/>
              <w:spacing w:after="0"/>
              <w:jc w:val="center"/>
              <w:rPr>
                <w:bCs/>
                <w:color w:val="000000"/>
                <w:sz w:val="24"/>
              </w:rPr>
            </w:pPr>
            <w:r>
              <w:rPr>
                <w:bCs/>
                <w:color w:val="000000"/>
                <w:sz w:val="24"/>
              </w:rPr>
              <w:t>案件名称</w:t>
            </w:r>
          </w:p>
        </w:tc>
        <w:tc>
          <w:tcPr>
            <w:tcW w:w="7700" w:type="dxa"/>
            <w:gridSpan w:val="2"/>
            <w:vAlign w:val="center"/>
          </w:tcPr>
          <w:p w14:paraId="40F5B1E3">
            <w:pPr>
              <w:widowControl/>
              <w:adjustRightInd w:val="0"/>
              <w:snapToGrid w:val="0"/>
              <w:rPr>
                <w:bCs/>
                <w:color w:val="000000"/>
                <w:sz w:val="24"/>
              </w:rPr>
            </w:pPr>
            <w:r>
              <w:rPr>
                <w:rFonts w:hint="eastAsia"/>
                <w:sz w:val="24"/>
              </w:rPr>
              <w:t>广州佳都智通科技有限公司与西门子交通技术（北京）有限公司新设合营企业案</w:t>
            </w:r>
          </w:p>
        </w:tc>
      </w:tr>
      <w:tr w14:paraId="763189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1" w:hRule="atLeast"/>
        </w:trPr>
        <w:tc>
          <w:tcPr>
            <w:tcW w:w="1940" w:type="dxa"/>
            <w:shd w:val="clear" w:color="auto" w:fill="D9D9D9"/>
            <w:vAlign w:val="center"/>
          </w:tcPr>
          <w:p w14:paraId="1E6818A2">
            <w:pPr>
              <w:pStyle w:val="2"/>
              <w:widowControl/>
              <w:adjustRightInd w:val="0"/>
              <w:snapToGrid w:val="0"/>
              <w:spacing w:after="0"/>
              <w:jc w:val="center"/>
              <w:rPr>
                <w:bCs/>
                <w:color w:val="000000"/>
                <w:sz w:val="24"/>
              </w:rPr>
            </w:pPr>
            <w:r>
              <w:rPr>
                <w:bCs/>
                <w:color w:val="000000"/>
                <w:sz w:val="24"/>
              </w:rPr>
              <w:t>交易概况（限200字内）</w:t>
            </w:r>
          </w:p>
        </w:tc>
        <w:tc>
          <w:tcPr>
            <w:tcW w:w="7700" w:type="dxa"/>
            <w:gridSpan w:val="2"/>
            <w:vAlign w:val="center"/>
          </w:tcPr>
          <w:p w14:paraId="09E49309">
            <w:pPr>
              <w:widowControl/>
              <w:adjustRightInd w:val="0"/>
              <w:snapToGrid w:val="0"/>
              <w:rPr>
                <w:sz w:val="24"/>
              </w:rPr>
            </w:pPr>
            <w:r>
              <w:rPr>
                <w:rFonts w:hint="eastAsia"/>
                <w:sz w:val="24"/>
              </w:rPr>
              <w:t>广州佳都智通科技有限公司（“佳都智通”）、西门子交通技术（北京）有限公司（“西门子交通中国”）与工控国际控股（广州）有限公司签署协议，拟共同设立一家合资公司，主要从事城市轨道交通信号系统业务。交易后，佳都智通与西门子交通中国将分别持有合资公司47%和43%的股份，共同控制合资公司。</w:t>
            </w:r>
          </w:p>
        </w:tc>
      </w:tr>
      <w:tr w14:paraId="7C5AF1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4" w:hRule="atLeast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7EF9411D">
            <w:pPr>
              <w:pStyle w:val="2"/>
              <w:widowControl/>
              <w:adjustRightInd w:val="0"/>
              <w:snapToGrid w:val="0"/>
              <w:spacing w:after="0"/>
              <w:jc w:val="center"/>
              <w:rPr>
                <w:bCs/>
                <w:color w:val="000000"/>
                <w:sz w:val="24"/>
              </w:rPr>
            </w:pPr>
            <w:r>
              <w:rPr>
                <w:bCs/>
                <w:color w:val="000000"/>
                <w:sz w:val="24"/>
              </w:rPr>
              <w:t>参与集中的经营者简介（每个限100字内）</w:t>
            </w:r>
          </w:p>
        </w:tc>
        <w:tc>
          <w:tcPr>
            <w:tcW w:w="1476" w:type="dxa"/>
            <w:vAlign w:val="center"/>
          </w:tcPr>
          <w:p w14:paraId="3F9458E1">
            <w:pPr>
              <w:pStyle w:val="2"/>
              <w:widowControl/>
              <w:adjustRightInd w:val="0"/>
              <w:snapToGrid w:val="0"/>
              <w:spacing w:after="0"/>
              <w:rPr>
                <w:bCs/>
                <w:color w:val="000000"/>
                <w:sz w:val="24"/>
              </w:rPr>
            </w:pPr>
            <w:r>
              <w:rPr>
                <w:bCs/>
                <w:color w:val="000000"/>
                <w:sz w:val="24"/>
              </w:rPr>
              <w:t>1.</w:t>
            </w:r>
            <w:r>
              <w:rPr>
                <w:rFonts w:hint="eastAsia"/>
                <w:bCs/>
                <w:color w:val="000000"/>
                <w:sz w:val="24"/>
              </w:rPr>
              <w:t>佳都智通</w:t>
            </w:r>
          </w:p>
        </w:tc>
        <w:tc>
          <w:tcPr>
            <w:tcW w:w="6224" w:type="dxa"/>
            <w:vAlign w:val="center"/>
          </w:tcPr>
          <w:p w14:paraId="5375EC52">
            <w:pPr>
              <w:pStyle w:val="2"/>
              <w:widowControl/>
              <w:adjustRightInd w:val="0"/>
              <w:snapToGrid w:val="0"/>
              <w:spacing w:after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佳都智通于2004年1月7日成立于广东省广州市，主要从事轨道交通自动售检票系统、屏蔽门系统、综合监控系统等业务。</w:t>
            </w:r>
          </w:p>
          <w:p w14:paraId="29984FE1">
            <w:pPr>
              <w:pStyle w:val="2"/>
              <w:widowControl/>
              <w:adjustRightInd w:val="0"/>
              <w:snapToGrid w:val="0"/>
              <w:spacing w:after="0"/>
              <w:rPr>
                <w:bCs/>
                <w:color w:val="000000"/>
                <w:sz w:val="24"/>
              </w:rPr>
            </w:pPr>
            <w:r>
              <w:rPr>
                <w:rFonts w:hint="eastAsia"/>
                <w:sz w:val="24"/>
              </w:rPr>
              <w:t>佳都智通最终控制人为自然人，主要从事人工智能软件和算法提供业务。</w:t>
            </w:r>
          </w:p>
        </w:tc>
      </w:tr>
      <w:tr w14:paraId="08561E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4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 w14:paraId="58FDED8B">
            <w:pPr>
              <w:pStyle w:val="2"/>
              <w:widowControl/>
              <w:adjustRightInd w:val="0"/>
              <w:snapToGrid w:val="0"/>
              <w:spacing w:after="0"/>
              <w:jc w:val="center"/>
              <w:rPr>
                <w:bCs/>
                <w:color w:val="000000"/>
                <w:sz w:val="24"/>
              </w:rPr>
            </w:pPr>
          </w:p>
        </w:tc>
        <w:tc>
          <w:tcPr>
            <w:tcW w:w="1476" w:type="dxa"/>
            <w:vAlign w:val="center"/>
          </w:tcPr>
          <w:p w14:paraId="6265F6E2">
            <w:pPr>
              <w:pStyle w:val="2"/>
              <w:widowControl/>
              <w:adjustRightInd w:val="0"/>
              <w:snapToGrid w:val="0"/>
              <w:spacing w:after="0"/>
              <w:rPr>
                <w:bCs/>
                <w:color w:val="000000"/>
                <w:sz w:val="24"/>
              </w:rPr>
            </w:pPr>
            <w:r>
              <w:rPr>
                <w:bCs/>
                <w:color w:val="000000"/>
                <w:sz w:val="24"/>
              </w:rPr>
              <w:t>2.</w:t>
            </w:r>
            <w:r>
              <w:rPr>
                <w:rFonts w:hint="eastAsia"/>
                <w:bCs/>
                <w:color w:val="000000"/>
                <w:sz w:val="24"/>
              </w:rPr>
              <w:t>西门子交通中国</w:t>
            </w:r>
          </w:p>
        </w:tc>
        <w:tc>
          <w:tcPr>
            <w:tcW w:w="6224" w:type="dxa"/>
            <w:vAlign w:val="center"/>
          </w:tcPr>
          <w:p w14:paraId="29FDC884">
            <w:pPr>
              <w:pStyle w:val="2"/>
              <w:widowControl/>
              <w:adjustRightInd w:val="0"/>
              <w:snapToGrid w:val="0"/>
              <w:spacing w:after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西门子交通中国于2018年4月23日成立于北京市，主要业务为轨道车辆、轨道交通自动化和电气化、轨道交通信号系统及产品、交钥匙系统工程、智能交通管理系统及其相关服务等。</w:t>
            </w:r>
          </w:p>
          <w:p w14:paraId="3B1F5822">
            <w:pPr>
              <w:pStyle w:val="2"/>
              <w:widowControl/>
              <w:adjustRightInd w:val="0"/>
              <w:snapToGrid w:val="0"/>
              <w:spacing w:after="0"/>
              <w:rPr>
                <w:sz w:val="24"/>
              </w:rPr>
            </w:pPr>
            <w:r>
              <w:rPr>
                <w:rFonts w:hint="eastAsia"/>
                <w:sz w:val="24"/>
              </w:rPr>
              <w:t>西门子交通中国最终控制人为西门子股份公司，主要业务为电气化、自动化与数字化。</w:t>
            </w:r>
          </w:p>
        </w:tc>
      </w:tr>
      <w:tr w14:paraId="6A7B5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7065995C">
            <w:pPr>
              <w:pStyle w:val="2"/>
              <w:widowControl/>
              <w:adjustRightInd w:val="0"/>
              <w:snapToGrid w:val="0"/>
              <w:spacing w:after="0"/>
              <w:jc w:val="center"/>
              <w:rPr>
                <w:bCs/>
                <w:color w:val="000000"/>
                <w:sz w:val="24"/>
              </w:rPr>
            </w:pPr>
            <w:r>
              <w:rPr>
                <w:bCs/>
                <w:color w:val="000000"/>
                <w:sz w:val="24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 w14:paraId="52751BED">
            <w:pPr>
              <w:pStyle w:val="2"/>
              <w:widowControl/>
              <w:adjustRightInd w:val="0"/>
              <w:snapToGrid w:val="0"/>
              <w:spacing w:after="0"/>
              <w:rPr>
                <w:bCs/>
                <w:color w:val="000000"/>
                <w:sz w:val="24"/>
              </w:rPr>
            </w:pPr>
            <w:r>
              <w:rPr>
                <w:bCs/>
                <w:color w:val="000000"/>
                <w:sz w:val="24"/>
              </w:rPr>
              <w:sym w:font="Wingdings" w:char="00FE"/>
            </w:r>
            <w:r>
              <w:rPr>
                <w:bCs/>
                <w:color w:val="000000"/>
                <w:sz w:val="24"/>
              </w:rPr>
              <w:t xml:space="preserve"> 1、在同一相关市场，所有参与集中的经营者所占市场份额之和小于15%。</w:t>
            </w:r>
          </w:p>
        </w:tc>
      </w:tr>
      <w:tr w14:paraId="05BDAD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 w14:paraId="207876F4">
            <w:pPr>
              <w:pStyle w:val="2"/>
              <w:widowControl/>
              <w:adjustRightInd w:val="0"/>
              <w:snapToGrid w:val="0"/>
              <w:spacing w:after="0"/>
              <w:jc w:val="center"/>
              <w:rPr>
                <w:bCs/>
                <w:color w:val="000000"/>
                <w:sz w:val="24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0C707BBC">
            <w:pPr>
              <w:pStyle w:val="2"/>
              <w:widowControl/>
              <w:adjustRightInd w:val="0"/>
              <w:snapToGrid w:val="0"/>
              <w:spacing w:after="0"/>
              <w:rPr>
                <w:bCs/>
                <w:color w:val="000000"/>
                <w:sz w:val="24"/>
              </w:rPr>
            </w:pPr>
            <w:r>
              <w:rPr>
                <w:bCs/>
                <w:color w:val="000000"/>
                <w:sz w:val="24"/>
              </w:rPr>
              <w:sym w:font="Wingdings" w:char="00A8"/>
            </w:r>
            <w:r>
              <w:rPr>
                <w:bCs/>
                <w:color w:val="000000"/>
                <w:sz w:val="24"/>
              </w:rPr>
              <w:t xml:space="preserve"> 2、存在上下游关系的参与集中的经营者，在上下游市场所占的市场份额均小于25%。</w:t>
            </w:r>
          </w:p>
        </w:tc>
      </w:tr>
      <w:tr w14:paraId="639F86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 w14:paraId="30A6C05F">
            <w:pPr>
              <w:pStyle w:val="2"/>
              <w:widowControl/>
              <w:adjustRightInd w:val="0"/>
              <w:snapToGrid w:val="0"/>
              <w:spacing w:after="0"/>
              <w:jc w:val="center"/>
              <w:rPr>
                <w:bCs/>
                <w:color w:val="000000"/>
                <w:sz w:val="24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296775F6">
            <w:pPr>
              <w:pStyle w:val="2"/>
              <w:widowControl/>
              <w:adjustRightInd w:val="0"/>
              <w:snapToGrid w:val="0"/>
              <w:spacing w:after="0"/>
              <w:rPr>
                <w:bCs/>
                <w:color w:val="000000"/>
                <w:sz w:val="24"/>
              </w:rPr>
            </w:pPr>
            <w:r>
              <w:rPr>
                <w:bCs/>
                <w:color w:val="000000"/>
                <w:sz w:val="24"/>
              </w:rPr>
              <w:sym w:font="Wingdings" w:char="00A8"/>
            </w:r>
            <w:r>
              <w:rPr>
                <w:bCs/>
                <w:color w:val="000000"/>
                <w:sz w:val="24"/>
              </w:rPr>
              <w:t xml:space="preserve"> 3、不在同一相关市场、也不存在上下游关系的参与集中的经营者，在与交易有关的每个市场所占的份额均小于25%。</w:t>
            </w:r>
          </w:p>
        </w:tc>
      </w:tr>
      <w:tr w14:paraId="49D748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5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 w14:paraId="3CB9471A">
            <w:pPr>
              <w:pStyle w:val="2"/>
              <w:widowControl/>
              <w:adjustRightInd w:val="0"/>
              <w:snapToGrid w:val="0"/>
              <w:spacing w:after="0"/>
              <w:jc w:val="center"/>
              <w:rPr>
                <w:bCs/>
                <w:color w:val="000000"/>
                <w:sz w:val="24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4CBCC315">
            <w:pPr>
              <w:pStyle w:val="2"/>
              <w:widowControl/>
              <w:adjustRightInd w:val="0"/>
              <w:snapToGrid w:val="0"/>
              <w:spacing w:after="0"/>
              <w:rPr>
                <w:bCs/>
                <w:color w:val="000000"/>
                <w:sz w:val="24"/>
              </w:rPr>
            </w:pPr>
            <w:r>
              <w:rPr>
                <w:bCs/>
                <w:color w:val="000000"/>
                <w:sz w:val="24"/>
              </w:rPr>
              <w:sym w:font="Wingdings" w:char="00A8"/>
            </w:r>
            <w:r>
              <w:rPr>
                <w:bCs/>
                <w:color w:val="000000"/>
                <w:sz w:val="24"/>
              </w:rPr>
              <w:t xml:space="preserve"> 4、参与集中的经营者在中国境外设立合营企业，合营企业不在中国境内从事经济活动。</w:t>
            </w:r>
          </w:p>
        </w:tc>
      </w:tr>
      <w:tr w14:paraId="076842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 w14:paraId="543F6DC9">
            <w:pPr>
              <w:pStyle w:val="2"/>
              <w:widowControl/>
              <w:adjustRightInd w:val="0"/>
              <w:snapToGrid w:val="0"/>
              <w:spacing w:after="0"/>
              <w:jc w:val="center"/>
              <w:rPr>
                <w:bCs/>
                <w:color w:val="000000"/>
                <w:sz w:val="24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0677897D">
            <w:pPr>
              <w:pStyle w:val="2"/>
              <w:widowControl/>
              <w:adjustRightInd w:val="0"/>
              <w:snapToGrid w:val="0"/>
              <w:spacing w:after="0"/>
              <w:rPr>
                <w:bCs/>
                <w:color w:val="000000"/>
                <w:sz w:val="24"/>
              </w:rPr>
            </w:pPr>
            <w:r>
              <w:rPr>
                <w:bCs/>
                <w:color w:val="000000"/>
                <w:sz w:val="24"/>
              </w:rPr>
              <w:sym w:font="Wingdings" w:char="00A8"/>
            </w:r>
            <w:r>
              <w:rPr>
                <w:bCs/>
                <w:color w:val="000000"/>
                <w:sz w:val="24"/>
              </w:rPr>
              <w:t xml:space="preserve"> 5、参与集中的经营者收购境外企业股权或资产的，该境外企业不在中国境内从事经济活动。</w:t>
            </w:r>
          </w:p>
        </w:tc>
      </w:tr>
      <w:tr w14:paraId="3A3F62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 w14:paraId="73C93DA0">
            <w:pPr>
              <w:pStyle w:val="2"/>
              <w:widowControl/>
              <w:adjustRightInd w:val="0"/>
              <w:snapToGrid w:val="0"/>
              <w:spacing w:after="0"/>
              <w:jc w:val="center"/>
              <w:rPr>
                <w:bCs/>
                <w:color w:val="000000"/>
                <w:sz w:val="24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458F544F">
            <w:pPr>
              <w:pStyle w:val="2"/>
              <w:widowControl/>
              <w:adjustRightInd w:val="0"/>
              <w:snapToGrid w:val="0"/>
              <w:spacing w:after="0"/>
              <w:rPr>
                <w:bCs/>
                <w:color w:val="000000"/>
                <w:sz w:val="24"/>
              </w:rPr>
            </w:pPr>
            <w:r>
              <w:rPr>
                <w:bCs/>
                <w:color w:val="000000"/>
                <w:sz w:val="24"/>
              </w:rPr>
              <w:sym w:font="Wingdings" w:char="00A8"/>
            </w:r>
            <w:r>
              <w:rPr>
                <w:bCs/>
                <w:color w:val="000000"/>
                <w:sz w:val="24"/>
              </w:rPr>
              <w:t xml:space="preserve"> 6、由两个以上的经营者共同控制的合营企业，通过集中被其中一个或一个以上经营者控制。</w:t>
            </w:r>
          </w:p>
        </w:tc>
      </w:tr>
      <w:tr w14:paraId="0D496F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4" w:hRule="atLeast"/>
        </w:trPr>
        <w:tc>
          <w:tcPr>
            <w:tcW w:w="1940" w:type="dxa"/>
            <w:shd w:val="clear" w:color="auto" w:fill="D9D9D9"/>
            <w:vAlign w:val="center"/>
          </w:tcPr>
          <w:p w14:paraId="7AED0904">
            <w:pPr>
              <w:pStyle w:val="2"/>
              <w:widowControl/>
              <w:adjustRightInd w:val="0"/>
              <w:snapToGrid w:val="0"/>
              <w:spacing w:after="0"/>
              <w:jc w:val="center"/>
              <w:rPr>
                <w:bCs/>
                <w:color w:val="000000"/>
                <w:sz w:val="24"/>
              </w:rPr>
            </w:pPr>
            <w:r>
              <w:rPr>
                <w:bCs/>
                <w:color w:val="000000"/>
                <w:sz w:val="24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 w14:paraId="6DA39FD5">
            <w:pPr>
              <w:pStyle w:val="2"/>
              <w:widowControl/>
              <w:adjustRightInd w:val="0"/>
              <w:snapToGrid w:val="0"/>
              <w:spacing w:after="0"/>
              <w:rPr>
                <w:b/>
                <w:color w:val="000000"/>
                <w:kern w:val="0"/>
                <w:sz w:val="24"/>
                <w:lang w:val="en-GB"/>
              </w:rPr>
            </w:pPr>
            <w:r>
              <w:rPr>
                <w:b/>
                <w:color w:val="000000"/>
                <w:kern w:val="0"/>
                <w:sz w:val="24"/>
                <w:lang w:val="en-GB"/>
              </w:rPr>
              <w:t>横向重叠：</w:t>
            </w:r>
          </w:p>
          <w:p w14:paraId="18191D1E">
            <w:pPr>
              <w:pStyle w:val="2"/>
              <w:widowControl/>
              <w:adjustRightInd w:val="0"/>
              <w:snapToGrid w:val="0"/>
              <w:spacing w:after="0"/>
              <w:rPr>
                <w:rFonts w:hint="eastAsia"/>
                <w:bCs/>
                <w:color w:val="000000"/>
                <w:kern w:val="0"/>
                <w:sz w:val="24"/>
              </w:rPr>
            </w:pPr>
            <w:r>
              <w:rPr>
                <w:rFonts w:hint="eastAsia"/>
                <w:bCs/>
                <w:color w:val="000000"/>
                <w:kern w:val="0"/>
                <w:sz w:val="24"/>
              </w:rPr>
              <w:t>2024年中国境内城市轨道交通信号系统市场</w:t>
            </w:r>
          </w:p>
          <w:p w14:paraId="66EEF444">
            <w:pPr>
              <w:pStyle w:val="2"/>
              <w:widowControl/>
              <w:adjustRightInd w:val="0"/>
              <w:snapToGrid w:val="0"/>
              <w:spacing w:after="0"/>
              <w:rPr>
                <w:rFonts w:hint="eastAsia"/>
                <w:bCs/>
                <w:color w:val="000000"/>
                <w:kern w:val="0"/>
                <w:sz w:val="24"/>
              </w:rPr>
            </w:pPr>
            <w:r>
              <w:rPr>
                <w:rFonts w:hint="eastAsia"/>
                <w:bCs/>
                <w:color w:val="000000"/>
                <w:kern w:val="0"/>
                <w:sz w:val="24"/>
              </w:rPr>
              <w:t>佳都智通：0-5%，西门子交通中国：0-5%，合营企业（预估）：0-5%，各方合计：0-5%</w:t>
            </w:r>
          </w:p>
        </w:tc>
      </w:tr>
    </w:tbl>
    <w:p w14:paraId="160237EF">
      <w:pPr>
        <w:adjustRightInd w:val="0"/>
        <w:snapToGrid w:val="0"/>
        <w:rPr>
          <w:rFonts w:eastAsiaTheme="minorEastAsia"/>
        </w:rPr>
      </w:pPr>
    </w:p>
    <w:p w14:paraId="4E2FFFB7"/>
    <w:sectPr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740CF6"/>
    <w:rsid w:val="37740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unhideWhenUsed/>
    <w:qFormat/>
    <w:uiPriority w:val="99"/>
    <w:pPr>
      <w:spacing w:after="12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省市场监督管理局</Company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2025-11-25T06:13:00Z</dcterms:created>
  <dc:creator>王雪娇</dc:creator>
  <cp:lastModifiedBy>王雪娇</cp:lastModifiedBy>
  <dcterms:modified xsi:type="dcterms:W3CDTF">2025-11-25T06:14:06Z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9EB082B6A4554B5783721FC8FE6E6619_11</vt:lpwstr>
  </property>
  <property fmtid="{D5CDD505-2E9C-101B-9397-08002B2CF9AE}" pid="4" name="KSOTemplateDocerSaveRecord">
    <vt:lpwstr>eyJoZGlkIjoiODNjM2VkZWUwYjdkZDYzZGY2NmZiZGNiZGIyMjFjYWIiLCJ1c2VySWQiOiIxMDI4NzQ1MTQzIn0=</vt:lpwstr>
  </property>
</Properties>
</file>