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82711E">
      <w:pPr>
        <w:widowControl/>
        <w:spacing w:after="240"/>
        <w:jc w:val="center"/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lang w:val="en-GB" w:bidi="ar"/>
        </w:rPr>
      </w:pPr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lang w:val="en-GB" w:bidi="ar"/>
        </w:rPr>
        <w:t>经营者集中简易案件公示表</w:t>
      </w:r>
    </w:p>
    <w:tbl>
      <w:tblPr>
        <w:tblStyle w:val="3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476"/>
        <w:gridCol w:w="6224"/>
      </w:tblGrid>
      <w:tr w14:paraId="69FA9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940" w:type="dxa"/>
            <w:shd w:val="clear" w:color="auto" w:fill="D9D9D9"/>
            <w:vAlign w:val="center"/>
          </w:tcPr>
          <w:p w14:paraId="45AA8234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bCs/>
                <w:color w:val="000000"/>
                <w:sz w:val="24"/>
              </w:rPr>
            </w:pPr>
            <w:r>
              <w:rPr>
                <w:bCs/>
                <w:color w:val="000000"/>
                <w:sz w:val="24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3C838034">
            <w:pPr>
              <w:widowControl/>
              <w:adjustRightInd w:val="0"/>
              <w:snapToGrid w:val="0"/>
              <w:rPr>
                <w:bCs/>
                <w:color w:val="000000"/>
                <w:sz w:val="24"/>
              </w:rPr>
            </w:pPr>
            <w:r>
              <w:rPr>
                <w:rFonts w:hint="eastAsia"/>
                <w:sz w:val="24"/>
              </w:rPr>
              <w:t>广东顺心快运有限公司收购深圳德坤供应链有限公司股权案</w:t>
            </w:r>
          </w:p>
        </w:tc>
      </w:tr>
      <w:tr w14:paraId="3B915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D9D9D9"/>
            <w:vAlign w:val="center"/>
          </w:tcPr>
          <w:p w14:paraId="6E2EBC8A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bCs/>
                <w:color w:val="000000"/>
                <w:sz w:val="24"/>
              </w:rPr>
            </w:pPr>
            <w:r>
              <w:rPr>
                <w:bCs/>
                <w:color w:val="000000"/>
                <w:sz w:val="24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04E70263">
            <w:pPr>
              <w:widowControl/>
              <w:adjustRightInd w:val="0"/>
              <w:snapToGrid w:val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广东顺心快运有限公司及其关联实体（“</w:t>
            </w:r>
            <w:r>
              <w:rPr>
                <w:rFonts w:hint="eastAsia"/>
                <w:b/>
                <w:bCs/>
                <w:sz w:val="24"/>
              </w:rPr>
              <w:t>顺心快运</w:t>
            </w:r>
            <w:r>
              <w:rPr>
                <w:rFonts w:hint="eastAsia"/>
                <w:sz w:val="24"/>
              </w:rPr>
              <w:t>”）与深圳德坤供应链有限公司（“</w:t>
            </w:r>
            <w:r>
              <w:rPr>
                <w:rFonts w:hint="eastAsia"/>
                <w:b/>
                <w:bCs/>
                <w:sz w:val="24"/>
              </w:rPr>
              <w:t>德坤供应链</w:t>
            </w:r>
            <w:r>
              <w:rPr>
                <w:rFonts w:hint="eastAsia"/>
                <w:sz w:val="24"/>
              </w:rPr>
              <w:t>”）各股东方签订交易协议，顺心快运收购德坤供应链共计27.5%的股权。德坤供应链主要从事零担货物运输服务、整车货物运输服务和第三方物流服务。</w:t>
            </w:r>
          </w:p>
          <w:p w14:paraId="7CDD4A92">
            <w:pPr>
              <w:widowControl/>
              <w:adjustRightInd w:val="0"/>
              <w:snapToGrid w:val="0"/>
              <w:rPr>
                <w:sz w:val="24"/>
              </w:rPr>
            </w:pPr>
            <w:r>
              <w:rPr>
                <w:rFonts w:hint="eastAsia"/>
                <w:sz w:val="24"/>
              </w:rPr>
              <w:t>交易前，自然人徐明亮合计持有德坤供应链60.8841%的股权，单独控制德坤供应链。交易后，徐明亮、顺心快运将分别持有德坤供应链45.1835%、27.5%的股权，徐明亮先生和顺心快运共同控制德坤供应链。</w:t>
            </w:r>
          </w:p>
        </w:tc>
      </w:tr>
      <w:tr w14:paraId="5ED65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256DF6A3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bCs/>
                <w:color w:val="000000"/>
                <w:sz w:val="24"/>
              </w:rPr>
            </w:pPr>
            <w:r>
              <w:rPr>
                <w:bCs/>
                <w:color w:val="000000"/>
                <w:sz w:val="24"/>
              </w:rPr>
              <w:t>参与集中的经营者简介（每个限100字内）</w:t>
            </w:r>
          </w:p>
        </w:tc>
        <w:tc>
          <w:tcPr>
            <w:tcW w:w="1476" w:type="dxa"/>
            <w:vAlign w:val="center"/>
          </w:tcPr>
          <w:p w14:paraId="630073DE">
            <w:pPr>
              <w:pStyle w:val="2"/>
              <w:widowControl/>
              <w:adjustRightInd w:val="0"/>
              <w:snapToGrid w:val="0"/>
              <w:spacing w:after="0"/>
              <w:rPr>
                <w:bCs/>
                <w:color w:val="000000"/>
                <w:sz w:val="24"/>
              </w:rPr>
            </w:pPr>
            <w:r>
              <w:rPr>
                <w:bCs/>
                <w:color w:val="000000"/>
                <w:sz w:val="24"/>
              </w:rPr>
              <w:t>1.</w:t>
            </w:r>
            <w:r>
              <w:rPr>
                <w:rFonts w:hint="eastAsia"/>
                <w:bCs/>
                <w:color w:val="000000"/>
                <w:sz w:val="24"/>
              </w:rPr>
              <w:t>顺心快运</w:t>
            </w:r>
          </w:p>
        </w:tc>
        <w:tc>
          <w:tcPr>
            <w:tcW w:w="6224" w:type="dxa"/>
            <w:vAlign w:val="center"/>
          </w:tcPr>
          <w:p w14:paraId="605831E7">
            <w:pPr>
              <w:pStyle w:val="2"/>
              <w:widowControl/>
              <w:adjustRightInd w:val="0"/>
              <w:snapToGrid w:val="0"/>
              <w:spacing w:after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顺心快运于2018年3月14日成立于广东省广州市，主要从事零担货物运输服务、整车货物运输服务和第三方物流服务。</w:t>
            </w:r>
          </w:p>
          <w:p w14:paraId="64F7B9BF">
            <w:pPr>
              <w:pStyle w:val="2"/>
              <w:widowControl/>
              <w:adjustRightInd w:val="0"/>
              <w:snapToGrid w:val="0"/>
              <w:spacing w:after="0"/>
              <w:rPr>
                <w:bCs/>
                <w:color w:val="000000"/>
                <w:sz w:val="24"/>
              </w:rPr>
            </w:pPr>
            <w:r>
              <w:rPr>
                <w:rFonts w:hint="eastAsia"/>
                <w:sz w:val="24"/>
              </w:rPr>
              <w:t>顺心快运的最终控制人为自然人，通过顺丰集团从事国内和国际物流业务。</w:t>
            </w:r>
          </w:p>
        </w:tc>
      </w:tr>
      <w:tr w14:paraId="4351B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2A8B646F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bCs/>
                <w:color w:val="000000"/>
                <w:sz w:val="24"/>
              </w:rPr>
            </w:pPr>
          </w:p>
        </w:tc>
        <w:tc>
          <w:tcPr>
            <w:tcW w:w="1476" w:type="dxa"/>
            <w:vAlign w:val="center"/>
          </w:tcPr>
          <w:p w14:paraId="4D87808F">
            <w:pPr>
              <w:pStyle w:val="2"/>
              <w:widowControl/>
              <w:adjustRightInd w:val="0"/>
              <w:snapToGrid w:val="0"/>
              <w:spacing w:after="0"/>
              <w:rPr>
                <w:bCs/>
                <w:color w:val="000000"/>
                <w:sz w:val="24"/>
              </w:rPr>
            </w:pPr>
            <w:r>
              <w:rPr>
                <w:bCs/>
                <w:color w:val="000000"/>
                <w:sz w:val="24"/>
              </w:rPr>
              <w:t>2.</w:t>
            </w:r>
            <w:r>
              <w:rPr>
                <w:rFonts w:hint="eastAsia"/>
                <w:bCs/>
                <w:color w:val="000000"/>
                <w:sz w:val="24"/>
              </w:rPr>
              <w:t>徐明亮</w:t>
            </w:r>
          </w:p>
        </w:tc>
        <w:tc>
          <w:tcPr>
            <w:tcW w:w="6224" w:type="dxa"/>
            <w:vAlign w:val="center"/>
          </w:tcPr>
          <w:p w14:paraId="13AC603B">
            <w:pPr>
              <w:pStyle w:val="2"/>
              <w:widowControl/>
              <w:adjustRightInd w:val="0"/>
              <w:snapToGrid w:val="0"/>
              <w:spacing w:after="0"/>
              <w:rPr>
                <w:sz w:val="24"/>
              </w:rPr>
            </w:pPr>
            <w:r>
              <w:rPr>
                <w:rFonts w:hint="eastAsia"/>
                <w:sz w:val="24"/>
              </w:rPr>
              <w:t>徐明亮先生为自然人，通过德坤物流集团从事零担货物运输服务、整车货物运输服务和第三方物流服务。</w:t>
            </w:r>
          </w:p>
        </w:tc>
      </w:tr>
      <w:tr w14:paraId="60C23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25DC3115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bCs/>
                <w:color w:val="000000"/>
                <w:sz w:val="24"/>
              </w:rPr>
            </w:pPr>
            <w:r>
              <w:rPr>
                <w:bCs/>
                <w:color w:val="000000"/>
                <w:sz w:val="24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1234CBC4">
            <w:pPr>
              <w:pStyle w:val="2"/>
              <w:widowControl/>
              <w:adjustRightInd w:val="0"/>
              <w:snapToGrid w:val="0"/>
              <w:spacing w:after="0"/>
              <w:rPr>
                <w:bCs/>
                <w:color w:val="000000"/>
                <w:sz w:val="24"/>
              </w:rPr>
            </w:pPr>
            <w:r>
              <w:rPr>
                <w:bCs/>
                <w:color w:val="000000"/>
                <w:sz w:val="24"/>
              </w:rPr>
              <w:sym w:font="Wingdings" w:char="00FE"/>
            </w:r>
            <w:r>
              <w:rPr>
                <w:bCs/>
                <w:color w:val="000000"/>
                <w:sz w:val="24"/>
              </w:rPr>
              <w:t xml:space="preserve"> 1、在同一相关市场，所有参与集中的经营者所占市场份额之和小于15%。</w:t>
            </w:r>
          </w:p>
        </w:tc>
      </w:tr>
      <w:tr w14:paraId="1E3A8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6C8B902D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D34C2B0">
            <w:pPr>
              <w:pStyle w:val="2"/>
              <w:widowControl/>
              <w:adjustRightInd w:val="0"/>
              <w:snapToGrid w:val="0"/>
              <w:spacing w:after="0"/>
              <w:rPr>
                <w:bCs/>
                <w:color w:val="000000"/>
                <w:sz w:val="24"/>
              </w:rPr>
            </w:pPr>
            <w:r>
              <w:rPr>
                <w:bCs/>
                <w:color w:val="000000"/>
                <w:sz w:val="24"/>
              </w:rPr>
              <w:sym w:font="Wingdings" w:char="00A8"/>
            </w:r>
            <w:r>
              <w:rPr>
                <w:bCs/>
                <w:color w:val="000000"/>
                <w:sz w:val="24"/>
              </w:rPr>
              <w:t xml:space="preserve"> 2、存在上下游关系的参与集中的经营者，在上下游市场所占的市场份额均小于25%。</w:t>
            </w:r>
          </w:p>
        </w:tc>
      </w:tr>
      <w:tr w14:paraId="6F977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563AE5BF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044229E">
            <w:pPr>
              <w:pStyle w:val="2"/>
              <w:widowControl/>
              <w:adjustRightInd w:val="0"/>
              <w:snapToGrid w:val="0"/>
              <w:spacing w:after="0"/>
              <w:rPr>
                <w:bCs/>
                <w:color w:val="000000"/>
                <w:sz w:val="24"/>
              </w:rPr>
            </w:pPr>
            <w:r>
              <w:rPr>
                <w:bCs/>
                <w:color w:val="000000"/>
                <w:sz w:val="24"/>
              </w:rPr>
              <w:sym w:font="Wingdings" w:char="00A8"/>
            </w:r>
            <w:r>
              <w:rPr>
                <w:bCs/>
                <w:color w:val="000000"/>
                <w:sz w:val="24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14:paraId="18DF4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7E559933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61C4E27">
            <w:pPr>
              <w:pStyle w:val="2"/>
              <w:widowControl/>
              <w:adjustRightInd w:val="0"/>
              <w:snapToGrid w:val="0"/>
              <w:spacing w:after="0"/>
              <w:rPr>
                <w:bCs/>
                <w:color w:val="000000"/>
                <w:sz w:val="24"/>
              </w:rPr>
            </w:pPr>
            <w:r>
              <w:rPr>
                <w:bCs/>
                <w:color w:val="000000"/>
                <w:sz w:val="24"/>
              </w:rPr>
              <w:sym w:font="Wingdings" w:char="00A8"/>
            </w:r>
            <w:r>
              <w:rPr>
                <w:bCs/>
                <w:color w:val="000000"/>
                <w:sz w:val="24"/>
              </w:rPr>
              <w:t xml:space="preserve"> 4、参与集中的经营者在中国境外设立合营企业，合营企业不在中国境内从事经济活动。</w:t>
            </w:r>
          </w:p>
        </w:tc>
      </w:tr>
      <w:tr w14:paraId="5A3D3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168D3AD2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9B811CD">
            <w:pPr>
              <w:pStyle w:val="2"/>
              <w:widowControl/>
              <w:adjustRightInd w:val="0"/>
              <w:snapToGrid w:val="0"/>
              <w:spacing w:after="0"/>
              <w:rPr>
                <w:bCs/>
                <w:color w:val="000000"/>
                <w:sz w:val="24"/>
              </w:rPr>
            </w:pPr>
            <w:r>
              <w:rPr>
                <w:bCs/>
                <w:color w:val="000000"/>
                <w:sz w:val="24"/>
              </w:rPr>
              <w:sym w:font="Wingdings" w:char="00A8"/>
            </w:r>
            <w:r>
              <w:rPr>
                <w:bCs/>
                <w:color w:val="000000"/>
                <w:sz w:val="24"/>
              </w:rPr>
              <w:t xml:space="preserve"> 5、参与集中的经营者收购境外企业股权或资产的，该境外企业不在中国境内从事经济活动。</w:t>
            </w:r>
          </w:p>
        </w:tc>
      </w:tr>
      <w:tr w14:paraId="50DA3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6263B192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A3C904F">
            <w:pPr>
              <w:pStyle w:val="2"/>
              <w:widowControl/>
              <w:adjustRightInd w:val="0"/>
              <w:snapToGrid w:val="0"/>
              <w:spacing w:after="0"/>
              <w:rPr>
                <w:bCs/>
                <w:color w:val="000000"/>
                <w:sz w:val="24"/>
              </w:rPr>
            </w:pPr>
            <w:r>
              <w:rPr>
                <w:bCs/>
                <w:color w:val="000000"/>
                <w:sz w:val="24"/>
              </w:rPr>
              <w:sym w:font="Wingdings" w:char="00A8"/>
            </w:r>
            <w:r>
              <w:rPr>
                <w:bCs/>
                <w:color w:val="000000"/>
                <w:sz w:val="24"/>
              </w:rPr>
              <w:t xml:space="preserve"> 6、由两个以上的经营者共同控制的合营企业，通过集中被其中一个或一个以上经营者控制。</w:t>
            </w:r>
          </w:p>
        </w:tc>
      </w:tr>
      <w:tr w14:paraId="6EE86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</w:trPr>
        <w:tc>
          <w:tcPr>
            <w:tcW w:w="1940" w:type="dxa"/>
            <w:shd w:val="clear" w:color="auto" w:fill="D9D9D9"/>
            <w:vAlign w:val="center"/>
          </w:tcPr>
          <w:p w14:paraId="2A191290"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bCs/>
                <w:color w:val="000000"/>
                <w:sz w:val="24"/>
              </w:rPr>
            </w:pPr>
            <w:r>
              <w:rPr>
                <w:bCs/>
                <w:color w:val="000000"/>
                <w:sz w:val="24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7E10A576">
            <w:pPr>
              <w:pStyle w:val="2"/>
              <w:widowControl/>
              <w:adjustRightInd w:val="0"/>
              <w:snapToGrid w:val="0"/>
              <w:spacing w:after="0"/>
              <w:rPr>
                <w:b/>
                <w:color w:val="000000"/>
                <w:kern w:val="0"/>
                <w:sz w:val="24"/>
                <w:lang w:val="en-GB"/>
              </w:rPr>
            </w:pPr>
            <w:r>
              <w:rPr>
                <w:b/>
                <w:color w:val="000000"/>
                <w:kern w:val="0"/>
                <w:sz w:val="24"/>
                <w:lang w:val="en-GB"/>
              </w:rPr>
              <w:t>横向重叠：</w:t>
            </w:r>
          </w:p>
          <w:tbl>
            <w:tblPr>
              <w:tblStyle w:val="3"/>
              <w:tblW w:w="7452" w:type="dxa"/>
              <w:tblInd w:w="0" w:type="dxa"/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2178"/>
              <w:gridCol w:w="1875"/>
              <w:gridCol w:w="3399"/>
            </w:tblGrid>
            <w:tr w14:paraId="6E29F8F2">
              <w:tblPrEx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252" w:hRule="atLeast"/>
              </w:trPr>
              <w:tc>
                <w:tcPr>
                  <w:tcW w:w="217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top"/>
                </w:tcPr>
                <w:p w14:paraId="1290EF13">
                  <w:pPr>
                    <w:pStyle w:val="2"/>
                    <w:adjustRightInd w:val="0"/>
                    <w:snapToGrid w:val="0"/>
                    <w:spacing w:after="0"/>
                    <w:jc w:val="center"/>
                    <w:rPr>
                      <w:rFonts w:hint="default" w:ascii="Times New Roman" w:hAnsi="Times New Roman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default" w:ascii="Times New Roman" w:hAnsi="Times New Roman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>相关商品市场</w:t>
                  </w:r>
                </w:p>
              </w:tc>
              <w:tc>
                <w:tcPr>
                  <w:tcW w:w="187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top"/>
                </w:tcPr>
                <w:p w14:paraId="0C926949">
                  <w:pPr>
                    <w:pStyle w:val="2"/>
                    <w:adjustRightInd w:val="0"/>
                    <w:snapToGrid w:val="0"/>
                    <w:spacing w:after="0"/>
                    <w:jc w:val="center"/>
                    <w:rPr>
                      <w:rFonts w:hint="default" w:ascii="Times New Roman" w:hAnsi="Times New Roman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default" w:ascii="Times New Roman" w:hAnsi="Times New Roman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>相关地域市场</w:t>
                  </w:r>
                </w:p>
              </w:tc>
              <w:tc>
                <w:tcPr>
                  <w:tcW w:w="339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top"/>
                </w:tcPr>
                <w:p w14:paraId="2705EDE7">
                  <w:pPr>
                    <w:pStyle w:val="2"/>
                    <w:adjustRightInd w:val="0"/>
                    <w:snapToGrid w:val="0"/>
                    <w:spacing w:after="0"/>
                    <w:jc w:val="center"/>
                    <w:rPr>
                      <w:rFonts w:hint="default" w:ascii="Times New Roman" w:hAnsi="Times New Roman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default" w:ascii="Times New Roman" w:hAnsi="Times New Roman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>2024年市场份额</w:t>
                  </w:r>
                </w:p>
              </w:tc>
            </w:tr>
            <w:tr w14:paraId="14832398">
              <w:tblPrEx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756" w:hRule="atLeast"/>
              </w:trPr>
              <w:tc>
                <w:tcPr>
                  <w:tcW w:w="217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top"/>
                </w:tcPr>
                <w:p w14:paraId="7CFC0C23">
                  <w:pPr>
                    <w:pStyle w:val="2"/>
                    <w:adjustRightInd w:val="0"/>
                    <w:snapToGrid w:val="0"/>
                    <w:spacing w:after="0"/>
                    <w:rPr>
                      <w:rFonts w:hint="default" w:ascii="Times New Roman" w:hAnsi="Times New Roman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default" w:ascii="Times New Roman" w:hAnsi="Times New Roman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>零担货物运输服务</w:t>
                  </w:r>
                </w:p>
              </w:tc>
              <w:tc>
                <w:tcPr>
                  <w:tcW w:w="187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top"/>
                </w:tcPr>
                <w:p w14:paraId="407A2134">
                  <w:pPr>
                    <w:pStyle w:val="2"/>
                    <w:adjustRightInd w:val="0"/>
                    <w:snapToGrid w:val="0"/>
                    <w:spacing w:after="0"/>
                    <w:rPr>
                      <w:rFonts w:hint="default"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>中国境内</w:t>
                  </w:r>
                </w:p>
              </w:tc>
              <w:tc>
                <w:tcPr>
                  <w:tcW w:w="339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top"/>
                </w:tcPr>
                <w:p w14:paraId="53BAE6E5">
                  <w:pPr>
                    <w:pStyle w:val="2"/>
                    <w:adjustRightInd w:val="0"/>
                    <w:snapToGrid w:val="0"/>
                    <w:spacing w:after="0"/>
                    <w:rPr>
                      <w:rFonts w:hint="default" w:ascii="Times New Roman" w:hAnsi="Times New Roman" w:cs="Times New Roman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default" w:ascii="Times New Roman" w:hAnsi="Times New Roman" w:cs="Times New Roman"/>
                      <w:sz w:val="24"/>
                      <w:szCs w:val="24"/>
                      <w:lang w:eastAsia="zh-CN"/>
                    </w:rPr>
                    <w:t>顺心快运：0-5%</w:t>
                  </w:r>
                </w:p>
                <w:p w14:paraId="4475CDCB">
                  <w:pPr>
                    <w:pStyle w:val="2"/>
                    <w:adjustRightInd w:val="0"/>
                    <w:snapToGrid w:val="0"/>
                    <w:spacing w:after="0"/>
                    <w:rPr>
                      <w:rFonts w:hint="default" w:ascii="Times New Roman" w:hAnsi="Times New Roman" w:cs="Times New Roman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default" w:ascii="Times New Roman" w:hAnsi="Times New Roman" w:cs="Times New Roman"/>
                      <w:sz w:val="24"/>
                      <w:szCs w:val="24"/>
                      <w:lang w:eastAsia="zh-CN"/>
                    </w:rPr>
                    <w:t>徐明亮（德坤物流集团）：0-5%</w:t>
                  </w:r>
                </w:p>
                <w:p w14:paraId="24DC7134">
                  <w:pPr>
                    <w:pStyle w:val="2"/>
                    <w:adjustRightInd w:val="0"/>
                    <w:snapToGrid w:val="0"/>
                    <w:spacing w:after="0"/>
                    <w:rPr>
                      <w:rFonts w:hint="default" w:ascii="Times New Roman" w:hAnsi="Times New Roman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default" w:ascii="Times New Roman" w:hAnsi="Times New Roman" w:cs="Times New Roman"/>
                      <w:sz w:val="24"/>
                      <w:szCs w:val="24"/>
                      <w:lang w:eastAsia="zh-CN"/>
                    </w:rPr>
                    <w:t>各方合计：0-5%</w:t>
                  </w:r>
                </w:p>
              </w:tc>
            </w:tr>
            <w:tr w14:paraId="7929DA22">
              <w:tblPrEx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756" w:hRule="atLeast"/>
              </w:trPr>
              <w:tc>
                <w:tcPr>
                  <w:tcW w:w="217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top"/>
                </w:tcPr>
                <w:p w14:paraId="08738292">
                  <w:pPr>
                    <w:pStyle w:val="2"/>
                    <w:adjustRightInd w:val="0"/>
                    <w:snapToGrid w:val="0"/>
                    <w:spacing w:after="0"/>
                    <w:rPr>
                      <w:rFonts w:hint="default" w:ascii="Times New Roman" w:hAnsi="Times New Roman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default" w:ascii="Times New Roman" w:hAnsi="Times New Roman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>整车货物运输服务</w:t>
                  </w:r>
                </w:p>
              </w:tc>
              <w:tc>
                <w:tcPr>
                  <w:tcW w:w="187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top"/>
                </w:tcPr>
                <w:p w14:paraId="4D0B9022">
                  <w:pPr>
                    <w:pStyle w:val="2"/>
                    <w:adjustRightInd w:val="0"/>
                    <w:snapToGrid w:val="0"/>
                    <w:spacing w:after="0"/>
                    <w:rPr>
                      <w:rFonts w:hint="eastAsia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>中国境内</w:t>
                  </w:r>
                </w:p>
              </w:tc>
              <w:tc>
                <w:tcPr>
                  <w:tcW w:w="339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top"/>
                </w:tcPr>
                <w:p w14:paraId="6440AF03">
                  <w:pPr>
                    <w:pStyle w:val="2"/>
                    <w:adjustRightInd w:val="0"/>
                    <w:snapToGrid w:val="0"/>
                    <w:spacing w:after="0"/>
                    <w:rPr>
                      <w:rFonts w:hint="default" w:ascii="Times New Roman" w:hAnsi="Times New Roman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default" w:ascii="Times New Roman" w:hAnsi="Times New Roman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>顺心快运：0-5%</w:t>
                  </w:r>
                </w:p>
                <w:p w14:paraId="64D07244">
                  <w:pPr>
                    <w:pStyle w:val="2"/>
                    <w:adjustRightInd w:val="0"/>
                    <w:snapToGrid w:val="0"/>
                    <w:spacing w:after="0"/>
                    <w:rPr>
                      <w:rFonts w:hint="default" w:ascii="Times New Roman" w:hAnsi="Times New Roman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default" w:ascii="Times New Roman" w:hAnsi="Times New Roman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>徐明亮（德坤物流集团）：0-5%</w:t>
                  </w:r>
                </w:p>
                <w:p w14:paraId="1D63E457">
                  <w:pPr>
                    <w:pStyle w:val="2"/>
                    <w:adjustRightInd w:val="0"/>
                    <w:snapToGrid w:val="0"/>
                    <w:spacing w:after="0"/>
                    <w:rPr>
                      <w:rFonts w:hint="default" w:ascii="Times New Roman" w:hAnsi="Times New Roman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default" w:ascii="Times New Roman" w:hAnsi="Times New Roman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>各方合计：0-5%</w:t>
                  </w:r>
                </w:p>
              </w:tc>
            </w:tr>
            <w:tr w14:paraId="288D1062">
              <w:tblPrEx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756" w:hRule="atLeast"/>
              </w:trPr>
              <w:tc>
                <w:tcPr>
                  <w:tcW w:w="217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top"/>
                </w:tcPr>
                <w:p w14:paraId="402A97E1">
                  <w:pPr>
                    <w:pStyle w:val="2"/>
                    <w:adjustRightInd w:val="0"/>
                    <w:snapToGrid w:val="0"/>
                    <w:spacing w:after="0"/>
                    <w:rPr>
                      <w:rFonts w:hint="default" w:ascii="Times New Roman" w:hAnsi="Times New Roman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default" w:ascii="Times New Roman" w:hAnsi="Times New Roman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>第三方物流服务</w:t>
                  </w:r>
                </w:p>
              </w:tc>
              <w:tc>
                <w:tcPr>
                  <w:tcW w:w="187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top"/>
                </w:tcPr>
                <w:p w14:paraId="39EF2DCA">
                  <w:pPr>
                    <w:pStyle w:val="2"/>
                    <w:adjustRightInd w:val="0"/>
                    <w:snapToGrid w:val="0"/>
                    <w:spacing w:after="0"/>
                    <w:rPr>
                      <w:rFonts w:hint="eastAsia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>中国境内</w:t>
                  </w:r>
                </w:p>
              </w:tc>
              <w:tc>
                <w:tcPr>
                  <w:tcW w:w="339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top"/>
                </w:tcPr>
                <w:p w14:paraId="189E85BF">
                  <w:pPr>
                    <w:pStyle w:val="2"/>
                    <w:adjustRightInd w:val="0"/>
                    <w:snapToGrid w:val="0"/>
                    <w:spacing w:after="0"/>
                    <w:rPr>
                      <w:rFonts w:hint="default" w:ascii="Times New Roman" w:hAnsi="Times New Roman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default" w:ascii="Times New Roman" w:hAnsi="Times New Roman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>顺心快运：0-5%</w:t>
                  </w:r>
                </w:p>
                <w:p w14:paraId="3F7C80D2">
                  <w:pPr>
                    <w:pStyle w:val="2"/>
                    <w:adjustRightInd w:val="0"/>
                    <w:snapToGrid w:val="0"/>
                    <w:spacing w:after="0"/>
                    <w:rPr>
                      <w:rFonts w:hint="default" w:ascii="Times New Roman" w:hAnsi="Times New Roman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default" w:ascii="Times New Roman" w:hAnsi="Times New Roman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>徐明亮（德坤物流集团）：0-5%</w:t>
                  </w:r>
                </w:p>
                <w:p w14:paraId="64EF3C3D">
                  <w:pPr>
                    <w:pStyle w:val="2"/>
                    <w:adjustRightInd w:val="0"/>
                    <w:snapToGrid w:val="0"/>
                    <w:spacing w:after="0"/>
                    <w:rPr>
                      <w:rFonts w:hint="default" w:ascii="Times New Roman" w:hAnsi="Times New Roman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default" w:ascii="Times New Roman" w:hAnsi="Times New Roman" w:cs="Times New Roman"/>
                      <w:bCs/>
                      <w:color w:val="000000"/>
                      <w:sz w:val="24"/>
                      <w:szCs w:val="24"/>
                      <w:lang w:eastAsia="zh-CN"/>
                    </w:rPr>
                    <w:t>各方合计：0-5%</w:t>
                  </w:r>
                </w:p>
              </w:tc>
            </w:tr>
          </w:tbl>
          <w:p w14:paraId="27824DE7">
            <w:pPr>
              <w:pStyle w:val="2"/>
              <w:widowControl/>
              <w:adjustRightInd w:val="0"/>
              <w:snapToGrid w:val="0"/>
              <w:spacing w:after="0"/>
              <w:rPr>
                <w:rFonts w:hint="eastAsia"/>
                <w:bCs/>
                <w:color w:val="000000"/>
                <w:kern w:val="0"/>
                <w:sz w:val="24"/>
              </w:rPr>
            </w:pPr>
          </w:p>
        </w:tc>
      </w:tr>
    </w:tbl>
    <w:p w14:paraId="2DCC3B73">
      <w:pPr>
        <w:adjustRightInd w:val="0"/>
        <w:snapToGrid w:val="0"/>
        <w:rPr>
          <w:rFonts w:eastAsiaTheme="minorEastAsia"/>
        </w:rPr>
      </w:pPr>
    </w:p>
    <w:p w14:paraId="3D2ABCD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F930B9"/>
    <w:rsid w:val="6AF93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nhideWhenUsed/>
    <w:qFormat/>
    <w:uiPriority w:val="99"/>
    <w:pPr>
      <w:spacing w:after="12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省市场监督管理局</Company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2025-12-22T07:03:00Z</dcterms:created>
  <dc:creator>王雪娇</dc:creator>
  <cp:lastModifiedBy>王雪娇</cp:lastModifiedBy>
  <dcterms:modified xsi:type="dcterms:W3CDTF">2025-12-22T07:04:46Z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FD5D797F6A574C52BA648996A5A56270_11</vt:lpwstr>
  </property>
  <property fmtid="{D5CDD505-2E9C-101B-9397-08002B2CF9AE}" pid="4" name="KSOTemplateDocerSaveRecord">
    <vt:lpwstr>eyJoZGlkIjoiODNjM2VkZWUwYjdkZDYzZGY2NmZiZGNiZGIyMjFjYWIiLCJ1c2VySWQiOiIxMjE0ODEzMDc5In0=</vt:lpwstr>
  </property>
</Properties>
</file>