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pacing w:line="580" w:lineRule="exact"/>
        <w:jc w:val="center"/>
        <w:textAlignment w:val="auto"/>
        <w:rPr>
          <w:rFonts w:hint="default" w:ascii="Times New Roman" w:hAnsi="Times New Roman" w:eastAsia="黑体" w:cs="Times New Roman"/>
          <w:bCs/>
          <w:color w:val="000000"/>
          <w:kern w:val="2"/>
          <w:sz w:val="52"/>
          <w:szCs w:val="52"/>
        </w:rPr>
      </w:pPr>
      <w:r>
        <w:rPr>
          <w:rFonts w:hint="default" w:ascii="Times New Roman" w:hAnsi="Times New Roman" w:eastAsia="黑体" w:cs="Times New Roman"/>
          <w:bCs/>
          <w:color w:val="000000"/>
          <w:spacing w:val="30"/>
          <w:kern w:val="2"/>
          <w:sz w:val="52"/>
          <w:szCs w:val="52"/>
          <w:fitText w:val="5742" w:id="0"/>
        </w:rPr>
        <w:t>国家市场监督管理总</w:t>
      </w:r>
      <w:r>
        <w:rPr>
          <w:rFonts w:hint="default" w:ascii="Times New Roman" w:hAnsi="Times New Roman" w:eastAsia="黑体" w:cs="Times New Roman"/>
          <w:bCs/>
          <w:color w:val="000000"/>
          <w:spacing w:val="1"/>
          <w:kern w:val="2"/>
          <w:sz w:val="52"/>
          <w:szCs w:val="52"/>
          <w:fitText w:val="5742" w:id="0"/>
        </w:rPr>
        <w:t>局</w:t>
      </w:r>
    </w:p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pacing w:line="580" w:lineRule="exact"/>
        <w:jc w:val="center"/>
        <w:textAlignment w:val="auto"/>
        <w:rPr>
          <w:rFonts w:hint="default" w:ascii="Times New Roman" w:hAnsi="Times New Roman" w:eastAsia="仿宋_GB2312" w:cs="Times New Roman"/>
          <w:color w:val="000000"/>
          <w:kern w:val="2"/>
          <w:sz w:val="44"/>
          <w:szCs w:val="44"/>
        </w:rPr>
      </w:pPr>
      <w:r>
        <w:rPr>
          <w:rFonts w:hint="default" w:ascii="Times New Roman" w:hAnsi="Times New Roman" w:eastAsia="黑体" w:cs="Times New Roman"/>
          <w:bCs/>
          <w:color w:val="000000"/>
          <w:spacing w:val="175"/>
          <w:kern w:val="2"/>
          <w:sz w:val="52"/>
          <w:szCs w:val="52"/>
          <w:fitText w:val="5742" w:id="1"/>
        </w:rPr>
        <w:t>行政处罚决定</w:t>
      </w:r>
      <w:r>
        <w:rPr>
          <w:rFonts w:hint="default" w:ascii="Times New Roman" w:hAnsi="Times New Roman" w:eastAsia="黑体" w:cs="Times New Roman"/>
          <w:bCs/>
          <w:color w:val="000000"/>
          <w:spacing w:val="1"/>
          <w:kern w:val="2"/>
          <w:sz w:val="52"/>
          <w:szCs w:val="52"/>
          <w:fitText w:val="5742" w:id="1"/>
        </w:rPr>
        <w:t>书</w:t>
      </w:r>
    </w:p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pacing w:line="580" w:lineRule="exact"/>
        <w:jc w:val="center"/>
        <w:textAlignment w:val="auto"/>
        <w:rPr>
          <w:rFonts w:hint="default" w:ascii="Times New Roman" w:hAnsi="Times New Roman" w:eastAsia="仿宋_GB2312" w:cs="Times New Roman"/>
          <w:kern w:val="2"/>
          <w:sz w:val="32"/>
          <w:szCs w:val="32"/>
        </w:rPr>
      </w:pP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国市监处〔202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/>
        </w:rPr>
        <w:t>1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〕</w:t>
      </w:r>
      <w:r>
        <w:rPr>
          <w:rFonts w:hint="eastAsia" w:eastAsia="仿宋_GB2312" w:cs="Times New Roman"/>
          <w:kern w:val="2"/>
          <w:sz w:val="32"/>
          <w:szCs w:val="32"/>
          <w:lang w:val="en-US" w:eastAsia="zh-CN"/>
        </w:rPr>
        <w:t>42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号</w:t>
      </w:r>
    </w:p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pacing w:line="580" w:lineRule="exact"/>
        <w:jc w:val="center"/>
        <w:textAlignment w:val="auto"/>
        <w:rPr>
          <w:rFonts w:hint="default" w:ascii="Times New Roman" w:hAnsi="Times New Roman" w:eastAsia="仿宋_GB2312" w:cs="Times New Roman"/>
          <w:kern w:val="2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firstLine="628" w:firstLineChars="200"/>
        <w:textAlignment w:val="auto"/>
        <w:rPr>
          <w:rFonts w:hint="default" w:ascii="Times New Roman" w:hAnsi="Times New Roman" w:eastAsia="仿宋_GB2312" w:cs="Times New Roman"/>
          <w:kern w:val="2"/>
          <w:sz w:val="32"/>
          <w:szCs w:val="32"/>
        </w:rPr>
      </w:pPr>
      <w:r>
        <w:rPr>
          <w:rFonts w:hint="eastAsia" w:ascii="黑体" w:hAnsi="黑体" w:eastAsia="黑体" w:cs="黑体"/>
          <w:kern w:val="2"/>
          <w:sz w:val="32"/>
          <w:szCs w:val="32"/>
        </w:rPr>
        <w:t>当事人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：</w:t>
      </w:r>
      <w:r>
        <w:rPr>
          <w:rFonts w:hint="default" w:ascii="Times New Roman" w:hAnsi="Times New Roman" w:eastAsia="仿宋_GB2312" w:cs="Times New Roman"/>
          <w:sz w:val="32"/>
          <w:lang w:val="en-US" w:eastAsia="zh-CN"/>
        </w:rPr>
        <w:t>萃联（中国）消防设备制造有限公司</w:t>
      </w:r>
    </w:p>
    <w:p>
      <w:pPr>
        <w:pStyle w:val="2"/>
        <w:keepNext w:val="0"/>
        <w:keepLines w:val="0"/>
        <w:pageBreakBefore w:val="0"/>
        <w:widowControl w:val="0"/>
        <w:kinsoku/>
        <w:wordWrap/>
        <w:topLinePunct w:val="0"/>
        <w:bidi w:val="0"/>
        <w:spacing w:after="0" w:line="594" w:lineRule="exact"/>
        <w:ind w:firstLine="628" w:firstLineChars="200"/>
        <w:textAlignment w:val="auto"/>
        <w:rPr>
          <w:rFonts w:hint="default" w:ascii="Times New Roman" w:hAnsi="Times New Roman" w:eastAsia="仿宋_GB2312" w:cs="Times New Roman"/>
          <w:kern w:val="2"/>
          <w:sz w:val="32"/>
          <w:szCs w:val="32"/>
        </w:rPr>
      </w:pPr>
      <w:r>
        <w:rPr>
          <w:rFonts w:hint="default" w:ascii="黑体" w:hAnsi="黑体" w:eastAsia="黑体" w:cs="黑体"/>
          <w:kern w:val="2"/>
          <w:sz w:val="32"/>
          <w:szCs w:val="32"/>
          <w:lang w:val="en-US" w:eastAsia="zh-CN" w:bidi="ar-SA"/>
        </w:rPr>
        <w:t>住  所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：四川省成都市温江区成都海峡两岸科技产业开发园新华大道一段8号</w:t>
      </w:r>
    </w:p>
    <w:p>
      <w:pPr>
        <w:pStyle w:val="2"/>
        <w:keepNext w:val="0"/>
        <w:keepLines w:val="0"/>
        <w:pageBreakBefore w:val="0"/>
        <w:widowControl w:val="0"/>
        <w:kinsoku/>
        <w:wordWrap/>
        <w:topLinePunct w:val="0"/>
        <w:bidi w:val="0"/>
        <w:spacing w:after="0" w:line="594" w:lineRule="exact"/>
        <w:ind w:firstLine="628" w:firstLineChars="200"/>
        <w:textAlignment w:val="auto"/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firstLine="628" w:firstLineChars="200"/>
        <w:textAlignment w:val="auto"/>
        <w:rPr>
          <w:rFonts w:hint="default" w:ascii="Times New Roman" w:hAnsi="Times New Roman" w:eastAsia="仿宋_GB2312" w:cs="Times New Roman"/>
          <w:kern w:val="2"/>
          <w:sz w:val="32"/>
          <w:szCs w:val="32"/>
        </w:rPr>
      </w:pP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根据《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eastAsia="zh-CN"/>
        </w:rPr>
        <w:t>中华人民共和国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反垄断法》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（以下简称《反垄断法》）、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eastAsia="zh-CN"/>
        </w:rPr>
        <w:t>《经营者集中审查暂行规定》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，本机关于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2021年</w:t>
      </w:r>
      <w:r>
        <w:rPr>
          <w:rFonts w:hint="default" w:ascii="Times New Roman" w:hAnsi="Times New Roman" w:eastAsia="仿宋_GB2312" w:cs="Times New Roman"/>
          <w:bCs/>
          <w:kern w:val="2"/>
          <w:sz w:val="32"/>
          <w:szCs w:val="32"/>
          <w:lang w:val="en-US" w:eastAsia="zh-CN" w:bidi="ar-SA"/>
        </w:rPr>
        <w:t>5月18日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对</w:t>
      </w:r>
      <w:r>
        <w:rPr>
          <w:rFonts w:hint="default" w:ascii="Times New Roman" w:hAnsi="Times New Roman" w:eastAsia="仿宋_GB2312" w:cs="Times New Roman"/>
          <w:sz w:val="32"/>
          <w:lang w:val="en-US" w:eastAsia="zh-CN"/>
        </w:rPr>
        <w:t>萃联（中国）消防设备制造有限公司（以下简称萃联中国）收购沈阳捷通消防车有限公司（以下简称沈阳捷通</w:t>
      </w:r>
      <w:r>
        <w:rPr>
          <w:rFonts w:hint="default" w:ascii="Times New Roman" w:hAnsi="Times New Roman" w:eastAsia="仿宋_GB2312" w:cs="Times New Roman"/>
          <w:sz w:val="32"/>
          <w:szCs w:val="32"/>
        </w:rPr>
        <w:t>）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股权</w:t>
      </w:r>
      <w:r>
        <w:rPr>
          <w:rFonts w:hint="default" w:ascii="Times New Roman" w:hAnsi="Times New Roman" w:eastAsia="仿宋_GB2312" w:cs="Times New Roman"/>
          <w:sz w:val="32"/>
          <w:szCs w:val="32"/>
        </w:rPr>
        <w:t>涉嫌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违法实施经营者集中</w:t>
      </w:r>
      <w:r>
        <w:rPr>
          <w:rFonts w:hint="default" w:ascii="Times New Roman" w:hAnsi="Times New Roman" w:eastAsia="仿宋_GB2312" w:cs="Times New Roman"/>
          <w:sz w:val="32"/>
          <w:szCs w:val="32"/>
        </w:rPr>
        <w:t>案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进行立案调查。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firstLine="628" w:firstLineChars="200"/>
        <w:textAlignment w:val="auto"/>
        <w:rPr>
          <w:rFonts w:hint="default" w:ascii="Times New Roman" w:hAnsi="Times New Roman" w:eastAsia="仿宋_GB2312" w:cs="Times New Roman"/>
          <w:kern w:val="2"/>
          <w:sz w:val="32"/>
          <w:szCs w:val="32"/>
        </w:rPr>
      </w:pP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经查，该案构成违法实施的经营者集中，但不具有排除、限制竞争的效果。本机关按照《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eastAsia="zh-CN"/>
        </w:rPr>
        <w:t>中华人民共和国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行政处罚法》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（以下简称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《行政处罚法》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）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的规定，向</w:t>
      </w:r>
      <w:r>
        <w:rPr>
          <w:rFonts w:hint="default" w:ascii="Times New Roman" w:hAnsi="Times New Roman" w:eastAsia="仿宋_GB2312" w:cs="Times New Roman"/>
          <w:sz w:val="32"/>
          <w:lang w:val="en-US" w:eastAsia="zh-CN"/>
        </w:rPr>
        <w:t>萃联中国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送达了《行政处罚告知书》，告知其拟作出行政处罚决定的事实、理由、证据、处罚内容，以及其依法享有的陈述权、申辩权和要求听证权。</w:t>
      </w:r>
      <w:r>
        <w:rPr>
          <w:rFonts w:hint="default" w:ascii="Times New Roman" w:hAnsi="Times New Roman" w:eastAsia="仿宋_GB2312" w:cs="Times New Roman"/>
          <w:sz w:val="32"/>
          <w:lang w:val="en-US" w:eastAsia="zh-CN"/>
        </w:rPr>
        <w:t>萃联中国</w:t>
      </w:r>
      <w:r>
        <w:rPr>
          <w:rFonts w:hint="eastAsia" w:eastAsia="仿宋_GB2312"/>
          <w:kern w:val="2"/>
          <w:sz w:val="32"/>
          <w:szCs w:val="32"/>
        </w:rPr>
        <w:t>在规定期限内没有提出陈述、申辩意见或要求举行听证。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本案现已调查、审理终结。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firstLine="628" w:firstLineChars="200"/>
        <w:textAlignment w:val="auto"/>
        <w:rPr>
          <w:rFonts w:hint="default" w:ascii="Times New Roman" w:hAnsi="Times New Roman" w:eastAsia="黑体" w:cs="Times New Roman"/>
          <w:kern w:val="2"/>
          <w:sz w:val="32"/>
          <w:szCs w:val="32"/>
        </w:rPr>
      </w:pPr>
      <w:r>
        <w:rPr>
          <w:rFonts w:hint="default" w:ascii="Times New Roman" w:hAnsi="Times New Roman" w:eastAsia="黑体" w:cs="Times New Roman"/>
          <w:kern w:val="2"/>
          <w:sz w:val="32"/>
          <w:szCs w:val="32"/>
        </w:rPr>
        <w:t>一、基本情况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firstLine="628" w:firstLineChars="200"/>
        <w:textAlignment w:val="auto"/>
        <w:rPr>
          <w:rFonts w:hint="default" w:ascii="Times New Roman" w:hAnsi="Times New Roman" w:eastAsia="楷体_GB2312" w:cs="Times New Roman"/>
          <w:b w:val="0"/>
          <w:bCs w:val="0"/>
          <w:kern w:val="2"/>
          <w:sz w:val="32"/>
          <w:szCs w:val="32"/>
        </w:rPr>
      </w:pPr>
      <w:r>
        <w:rPr>
          <w:rFonts w:hint="default" w:ascii="Times New Roman" w:hAnsi="Times New Roman" w:eastAsia="楷体_GB2312" w:cs="Times New Roman"/>
          <w:b w:val="0"/>
          <w:bCs w:val="0"/>
          <w:kern w:val="2"/>
          <w:sz w:val="32"/>
          <w:szCs w:val="32"/>
        </w:rPr>
        <w:t>（一）交易方。</w:t>
      </w:r>
    </w:p>
    <w:p>
      <w:pPr>
        <w:pStyle w:val="9"/>
        <w:spacing w:line="240" w:lineRule="auto"/>
        <w:ind w:firstLine="643"/>
        <w:rPr>
          <w:rFonts w:hint="default" w:ascii="Times New Roman" w:hAnsi="Times New Roman" w:cs="Times New Roman"/>
          <w:bCs/>
        </w:rPr>
      </w:pPr>
      <w:r>
        <w:rPr>
          <w:rFonts w:hint="default" w:ascii="Times New Roman" w:hAnsi="Times New Roman" w:eastAsia="仿宋_GB2312" w:cs="Times New Roman"/>
          <w:b/>
          <w:bCs w:val="0"/>
          <w:sz w:val="32"/>
          <w:szCs w:val="32"/>
          <w:lang w:eastAsia="zh-CN"/>
        </w:rPr>
        <w:t>收购方：</w:t>
      </w:r>
      <w:r>
        <w:rPr>
          <w:rFonts w:hint="default" w:ascii="Times New Roman" w:hAnsi="Times New Roman" w:eastAsia="仿宋_GB2312" w:cs="Times New Roman"/>
          <w:b/>
          <w:kern w:val="2"/>
          <w:sz w:val="32"/>
          <w:szCs w:val="32"/>
          <w:lang w:val="en-US" w:eastAsia="zh-CN" w:bidi="ar-SA"/>
        </w:rPr>
        <w:t>萃联中国。</w:t>
      </w:r>
      <w:r>
        <w:rPr>
          <w:rFonts w:hint="default" w:ascii="Times New Roman" w:hAnsi="Times New Roman" w:eastAsia="仿宋_GB2312" w:cs="Times New Roman"/>
          <w:b w:val="0"/>
          <w:bCs/>
          <w:kern w:val="2"/>
          <w:sz w:val="32"/>
          <w:szCs w:val="32"/>
          <w:lang w:val="en-US" w:eastAsia="zh-CN" w:bidi="ar-SA"/>
        </w:rPr>
        <w:t>2006</w:t>
      </w:r>
      <w:r>
        <w:rPr>
          <w:rFonts w:hint="default" w:ascii="Times New Roman" w:hAnsi="Times New Roman" w:eastAsia="仿宋_GB2312" w:cs="Times New Roman"/>
          <w:bCs/>
          <w:kern w:val="2"/>
          <w:sz w:val="32"/>
          <w:szCs w:val="32"/>
          <w:lang w:val="en-US" w:eastAsia="zh-CN" w:bidi="ar-SA"/>
        </w:rPr>
        <w:t>年于四川省成都市注册成立，最终控制人是中国国际海运集装箱（集团）股份有限公司（以下简称中集集团）。萃联中国主要</w:t>
      </w:r>
      <w:r>
        <w:rPr>
          <w:rFonts w:hint="eastAsia" w:ascii="Times New Roman" w:hAnsi="Times New Roman" w:eastAsia="仿宋_GB2312" w:cs="Times New Roman"/>
          <w:bCs/>
          <w:kern w:val="2"/>
          <w:sz w:val="32"/>
          <w:szCs w:val="32"/>
          <w:lang w:val="en-US" w:eastAsia="zh-CN" w:bidi="ar-SA"/>
        </w:rPr>
        <w:t>从事</w:t>
      </w:r>
      <w:r>
        <w:rPr>
          <w:rFonts w:hint="default" w:ascii="Times New Roman" w:hAnsi="Times New Roman" w:eastAsia="仿宋_GB2312" w:cs="Times New Roman"/>
          <w:bCs/>
          <w:kern w:val="2"/>
          <w:sz w:val="32"/>
          <w:szCs w:val="32"/>
          <w:lang w:val="en-US" w:eastAsia="zh-CN" w:bidi="ar-SA"/>
        </w:rPr>
        <w:t>消防车</w:t>
      </w:r>
      <w:r>
        <w:rPr>
          <w:rFonts w:hint="eastAsia" w:ascii="Times New Roman" w:hAnsi="Times New Roman" w:eastAsia="仿宋_GB2312" w:cs="Times New Roman"/>
          <w:bCs/>
          <w:kern w:val="2"/>
          <w:sz w:val="32"/>
          <w:szCs w:val="32"/>
          <w:lang w:val="en-US" w:eastAsia="zh-CN" w:bidi="ar-SA"/>
        </w:rPr>
        <w:t>生产销售</w:t>
      </w:r>
      <w:r>
        <w:rPr>
          <w:rFonts w:hint="default" w:ascii="Times New Roman" w:hAnsi="Times New Roman" w:eastAsia="仿宋_GB2312" w:cs="Times New Roman"/>
          <w:bCs/>
          <w:kern w:val="2"/>
          <w:sz w:val="32"/>
          <w:szCs w:val="32"/>
          <w:lang w:val="en-US" w:eastAsia="zh-CN" w:bidi="ar-SA"/>
        </w:rPr>
        <w:t>，中集集团主要从事集装箱、道路运输车辆、能源化工装备、海洋工程装备、空港装备的制造及服务业务。萃联中国2017年全球营业额为</w:t>
      </w:r>
      <w:r>
        <w:rPr>
          <w:rFonts w:hint="eastAsia" w:ascii="Times New Roman" w:hAnsi="Times New Roman" w:cs="Times New Roman"/>
          <w:bCs/>
          <w:kern w:val="2"/>
          <w:sz w:val="32"/>
          <w:szCs w:val="32"/>
          <w:lang w:val="en-US" w:eastAsia="zh-CN" w:bidi="ar-SA"/>
        </w:rPr>
        <w:t>（略）</w:t>
      </w:r>
      <w:r>
        <w:rPr>
          <w:rFonts w:hint="default" w:ascii="Times New Roman" w:hAnsi="Times New Roman" w:eastAsia="仿宋_GB2312" w:cs="Times New Roman"/>
          <w:bCs/>
          <w:kern w:val="2"/>
          <w:sz w:val="32"/>
          <w:szCs w:val="32"/>
          <w:lang w:val="en-US" w:eastAsia="zh-CN" w:bidi="ar-SA"/>
        </w:rPr>
        <w:t>人民币</w:t>
      </w:r>
      <w:r>
        <w:rPr>
          <w:rFonts w:hint="default" w:ascii="Times New Roman" w:hAnsi="Times New Roman" w:eastAsia="仿宋_GB2312" w:cs="Times New Roman"/>
          <w:bCs/>
          <w:sz w:val="32"/>
          <w:szCs w:val="32"/>
          <w:lang w:eastAsia="zh-CN"/>
        </w:rPr>
        <w:t>（币种下同）</w:t>
      </w:r>
      <w:r>
        <w:rPr>
          <w:rFonts w:hint="default" w:ascii="Times New Roman" w:hAnsi="Times New Roman" w:eastAsia="仿宋_GB2312" w:cs="Times New Roman"/>
          <w:bCs/>
          <w:kern w:val="2"/>
          <w:sz w:val="32"/>
          <w:szCs w:val="32"/>
          <w:lang w:val="en-US" w:eastAsia="zh-CN" w:bidi="ar-SA"/>
        </w:rPr>
        <w:t>，中国境内营业额为</w:t>
      </w:r>
      <w:r>
        <w:rPr>
          <w:rFonts w:hint="eastAsia" w:ascii="Times New Roman" w:hAnsi="Times New Roman" w:cs="Times New Roman"/>
          <w:bCs/>
          <w:kern w:val="2"/>
          <w:sz w:val="32"/>
          <w:szCs w:val="32"/>
          <w:lang w:val="en-US" w:eastAsia="zh-CN" w:bidi="ar-SA"/>
        </w:rPr>
        <w:t>（略）</w:t>
      </w:r>
      <w:r>
        <w:rPr>
          <w:rFonts w:hint="default" w:ascii="Times New Roman" w:hAnsi="Times New Roman" w:eastAsia="仿宋_GB2312" w:cs="Times New Roman"/>
          <w:bCs/>
          <w:kern w:val="2"/>
          <w:sz w:val="32"/>
          <w:szCs w:val="32"/>
          <w:lang w:val="en-US" w:eastAsia="zh-CN" w:bidi="ar-SA"/>
        </w:rPr>
        <w:t>；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val="en-US" w:eastAsia="zh-CN"/>
        </w:rPr>
        <w:t>2018年全球营业额约为</w:t>
      </w:r>
      <w:r>
        <w:rPr>
          <w:rFonts w:hint="eastAsia" w:ascii="Times New Roman" w:hAnsi="Times New Roman" w:cs="Times New Roman"/>
          <w:bCs/>
          <w:kern w:val="2"/>
          <w:sz w:val="32"/>
          <w:szCs w:val="32"/>
          <w:lang w:val="en-US" w:eastAsia="zh-CN" w:bidi="ar-SA"/>
        </w:rPr>
        <w:t>（略）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val="en-US" w:eastAsia="zh-CN"/>
        </w:rPr>
        <w:t>，中国境内营业额约为</w:t>
      </w:r>
      <w:r>
        <w:rPr>
          <w:rFonts w:hint="eastAsia" w:ascii="Times New Roman" w:hAnsi="Times New Roman" w:cs="Times New Roman"/>
          <w:bCs/>
          <w:kern w:val="2"/>
          <w:sz w:val="32"/>
          <w:szCs w:val="32"/>
          <w:lang w:val="en-US" w:eastAsia="zh-CN" w:bidi="ar-SA"/>
        </w:rPr>
        <w:t>（略）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val="en-US" w:eastAsia="zh-CN"/>
        </w:rPr>
        <w:t>。</w:t>
      </w:r>
    </w:p>
    <w:p>
      <w:pPr>
        <w:pStyle w:val="2"/>
        <w:keepNext w:val="0"/>
        <w:keepLines w:val="0"/>
        <w:pageBreakBefore w:val="0"/>
        <w:kinsoku/>
        <w:wordWrap/>
        <w:topLinePunct w:val="0"/>
        <w:bidi w:val="0"/>
        <w:snapToGrid/>
        <w:spacing w:after="0" w:line="594" w:lineRule="exact"/>
        <w:ind w:right="0" w:firstLine="628" w:firstLineChars="200"/>
        <w:textAlignment w:val="auto"/>
        <w:rPr>
          <w:rFonts w:hint="default" w:ascii="Times New Roman" w:hAnsi="Times New Roman" w:eastAsia="仿宋_GB2312" w:cs="Times New Roman"/>
          <w:color w:val="000000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/>
          <w:bCs w:val="0"/>
          <w:sz w:val="32"/>
          <w:szCs w:val="32"/>
          <w:lang w:eastAsia="zh-CN"/>
        </w:rPr>
        <w:t>被收购方：</w:t>
      </w:r>
      <w:r>
        <w:rPr>
          <w:rFonts w:hint="default" w:ascii="Times New Roman" w:hAnsi="Times New Roman" w:eastAsia="仿宋_GB2312" w:cs="Times New Roman"/>
          <w:b/>
          <w:kern w:val="2"/>
          <w:sz w:val="32"/>
          <w:szCs w:val="32"/>
          <w:lang w:val="en-US" w:eastAsia="zh-CN" w:bidi="ar-SA"/>
        </w:rPr>
        <w:t>沈阳捷通</w:t>
      </w:r>
      <w:r>
        <w:rPr>
          <w:rFonts w:hint="default" w:ascii="Times New Roman" w:hAnsi="Times New Roman" w:eastAsia="仿宋_GB2312" w:cs="Times New Roman"/>
          <w:bCs/>
          <w:kern w:val="2"/>
          <w:sz w:val="32"/>
          <w:szCs w:val="32"/>
          <w:lang w:val="en-US" w:eastAsia="zh-CN" w:bidi="ar-SA"/>
        </w:rPr>
        <w:t>。1974年于辽宁省沈阳市注册成立，主要</w:t>
      </w:r>
      <w:r>
        <w:rPr>
          <w:rFonts w:hint="eastAsia" w:ascii="Times New Roman" w:hAnsi="Times New Roman" w:eastAsia="仿宋_GB2312" w:cs="Times New Roman"/>
          <w:bCs/>
          <w:kern w:val="2"/>
          <w:sz w:val="32"/>
          <w:szCs w:val="32"/>
          <w:lang w:val="en-US" w:eastAsia="zh-CN" w:bidi="ar-SA"/>
        </w:rPr>
        <w:t>从事</w:t>
      </w:r>
      <w:r>
        <w:rPr>
          <w:rFonts w:hint="default" w:ascii="Times New Roman" w:hAnsi="Times New Roman" w:eastAsia="仿宋_GB2312" w:cs="Times New Roman"/>
          <w:bCs/>
          <w:kern w:val="2"/>
          <w:sz w:val="32"/>
          <w:szCs w:val="32"/>
          <w:lang w:val="en-US" w:eastAsia="zh-CN" w:bidi="ar-SA"/>
        </w:rPr>
        <w:t>消防车</w:t>
      </w:r>
      <w:r>
        <w:rPr>
          <w:rFonts w:hint="eastAsia" w:ascii="Times New Roman" w:hAnsi="Times New Roman" w:eastAsia="仿宋_GB2312" w:cs="Times New Roman"/>
          <w:bCs/>
          <w:kern w:val="2"/>
          <w:sz w:val="32"/>
          <w:szCs w:val="32"/>
          <w:lang w:val="en-US" w:eastAsia="zh-CN" w:bidi="ar-SA"/>
        </w:rPr>
        <w:t>生产销售</w:t>
      </w:r>
      <w:r>
        <w:rPr>
          <w:rFonts w:hint="default" w:ascii="Times New Roman" w:hAnsi="Times New Roman" w:eastAsia="仿宋_GB2312" w:cs="Times New Roman"/>
          <w:bCs/>
          <w:kern w:val="2"/>
          <w:sz w:val="32"/>
          <w:szCs w:val="32"/>
          <w:lang w:val="en-US" w:eastAsia="zh-CN" w:bidi="ar-SA"/>
        </w:rPr>
        <w:t>。沈阳捷通2017年全球及中国</w:t>
      </w:r>
      <w:r>
        <w:rPr>
          <w:rFonts w:hint="eastAsia" w:ascii="Times New Roman" w:hAnsi="Times New Roman" w:eastAsia="仿宋_GB2312" w:cs="Times New Roman"/>
          <w:bCs/>
          <w:kern w:val="2"/>
          <w:sz w:val="32"/>
          <w:szCs w:val="32"/>
          <w:lang w:val="en-US" w:eastAsia="zh-CN" w:bidi="ar-SA"/>
        </w:rPr>
        <w:t>境内</w:t>
      </w:r>
      <w:r>
        <w:rPr>
          <w:rFonts w:hint="default" w:ascii="Times New Roman" w:hAnsi="Times New Roman" w:eastAsia="仿宋_GB2312" w:cs="Times New Roman"/>
          <w:bCs/>
          <w:kern w:val="2"/>
          <w:sz w:val="32"/>
          <w:szCs w:val="32"/>
          <w:lang w:val="en-US" w:eastAsia="zh-CN" w:bidi="ar-SA"/>
        </w:rPr>
        <w:t>营业额均为</w:t>
      </w:r>
      <w:r>
        <w:rPr>
          <w:rFonts w:hint="eastAsia" w:ascii="Times New Roman" w:hAnsi="Times New Roman" w:eastAsia="仿宋_GB2312" w:cs="Times New Roman"/>
          <w:bCs/>
          <w:kern w:val="2"/>
          <w:sz w:val="32"/>
          <w:szCs w:val="32"/>
          <w:lang w:val="en-US" w:eastAsia="zh-CN" w:bidi="ar-SA"/>
        </w:rPr>
        <w:t>（略）</w:t>
      </w:r>
      <w:r>
        <w:rPr>
          <w:rFonts w:hint="default" w:ascii="Times New Roman" w:hAnsi="Times New Roman" w:eastAsia="仿宋_GB2312" w:cs="Times New Roman"/>
          <w:bCs/>
          <w:kern w:val="2"/>
          <w:sz w:val="32"/>
          <w:szCs w:val="32"/>
          <w:lang w:val="en-US" w:eastAsia="zh-CN" w:bidi="ar-SA"/>
        </w:rPr>
        <w:t>；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val="en-US" w:eastAsia="zh-CN"/>
        </w:rPr>
        <w:t>2018年全球和中国境内营业额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lang w:val="en-US" w:eastAsia="zh-CN"/>
        </w:rPr>
        <w:t>均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val="en-US" w:eastAsia="zh-CN"/>
        </w:rPr>
        <w:t>为（略）。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firstLine="628" w:firstLineChars="200"/>
        <w:textAlignment w:val="auto"/>
        <w:rPr>
          <w:rFonts w:hint="default" w:ascii="Times New Roman" w:hAnsi="Times New Roman" w:eastAsia="楷体_GB2312" w:cs="Times New Roman"/>
          <w:b w:val="0"/>
          <w:bCs w:val="0"/>
          <w:kern w:val="2"/>
          <w:sz w:val="32"/>
          <w:szCs w:val="32"/>
        </w:rPr>
      </w:pPr>
      <w:r>
        <w:rPr>
          <w:rFonts w:hint="default" w:ascii="Times New Roman" w:hAnsi="Times New Roman" w:eastAsia="楷体_GB2312" w:cs="Times New Roman"/>
          <w:b w:val="0"/>
          <w:bCs w:val="0"/>
          <w:kern w:val="2"/>
          <w:sz w:val="32"/>
          <w:szCs w:val="32"/>
        </w:rPr>
        <w:t>（二）交易概况。</w:t>
      </w:r>
    </w:p>
    <w:p>
      <w:pPr>
        <w:pStyle w:val="9"/>
        <w:spacing w:line="240" w:lineRule="auto"/>
        <w:ind w:firstLine="640"/>
        <w:rPr>
          <w:rFonts w:hint="default" w:ascii="Times New Roman" w:hAnsi="Times New Roman" w:cs="Times New Roman"/>
          <w:bCs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本次交易系股权收购。</w:t>
      </w:r>
      <w:r>
        <w:rPr>
          <w:rFonts w:hint="default" w:ascii="Times New Roman" w:hAnsi="Times New Roman" w:eastAsia="仿宋_GB2312" w:cs="Times New Roman"/>
          <w:bCs/>
          <w:kern w:val="2"/>
          <w:sz w:val="32"/>
          <w:szCs w:val="32"/>
          <w:lang w:val="en-US" w:eastAsia="zh-CN" w:bidi="ar-SA"/>
        </w:rPr>
        <w:t>2018年7月31日，萃联中国与陈玉华等7名沈阳捷通的自然人股东签订股权收购协议，萃联中国收购沈阳捷通60%股权。2019年6月18日，沈阳捷通完成股权变更登记。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firstLine="628" w:firstLineChars="200"/>
        <w:textAlignment w:val="auto"/>
        <w:rPr>
          <w:rFonts w:hint="default" w:ascii="Times New Roman" w:hAnsi="Times New Roman" w:eastAsia="黑体" w:cs="Times New Roman"/>
          <w:kern w:val="2"/>
          <w:sz w:val="32"/>
          <w:szCs w:val="32"/>
        </w:rPr>
      </w:pPr>
      <w:r>
        <w:rPr>
          <w:rFonts w:hint="default" w:ascii="Times New Roman" w:hAnsi="Times New Roman" w:eastAsia="黑体" w:cs="Times New Roman"/>
          <w:kern w:val="2"/>
          <w:sz w:val="32"/>
          <w:szCs w:val="32"/>
        </w:rPr>
        <w:t>二、违法事实及理由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firstLine="628" w:firstLineChars="200"/>
        <w:textAlignment w:val="auto"/>
        <w:rPr>
          <w:rFonts w:hint="default" w:ascii="Times New Roman" w:hAnsi="Times New Roman" w:eastAsia="楷体_GB2312" w:cs="Times New Roman"/>
          <w:b w:val="0"/>
          <w:bCs w:val="0"/>
          <w:kern w:val="2"/>
          <w:sz w:val="32"/>
          <w:szCs w:val="32"/>
        </w:rPr>
      </w:pPr>
      <w:r>
        <w:rPr>
          <w:rFonts w:hint="default" w:ascii="Times New Roman" w:hAnsi="Times New Roman" w:eastAsia="楷体_GB2312" w:cs="Times New Roman"/>
          <w:b w:val="0"/>
          <w:bCs w:val="0"/>
          <w:kern w:val="2"/>
          <w:sz w:val="32"/>
          <w:szCs w:val="32"/>
        </w:rPr>
        <w:t>（一）本案构成违法实施的经营者集中。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594" w:lineRule="exact"/>
        <w:ind w:firstLine="628" w:firstLineChars="200"/>
        <w:textAlignment w:val="auto"/>
        <w:outlineLvl w:val="9"/>
        <w:rPr>
          <w:rFonts w:hint="default" w:ascii="Times New Roman" w:hAnsi="Times New Roman" w:eastAsia="仿宋_GB2312" w:cs="Times New Roman"/>
          <w:bCs/>
          <w:sz w:val="32"/>
          <w:szCs w:val="32"/>
          <w:lang w:eastAsia="zh-CN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《反垄断法》第二十条规定“经营者集中是指下列情形：（一）经营者合并；（二）经营者通过取得股权或者资产的方式取得对其他经营者的控制权；（三）经营者通过合同等方式取得</w:t>
      </w:r>
      <w:r>
        <w:rPr>
          <w:rFonts w:hint="default" w:ascii="Times New Roman" w:hAnsi="Times New Roman" w:eastAsia="仿宋_GB2312" w:cs="Times New Roman"/>
          <w:bCs/>
          <w:sz w:val="32"/>
          <w:szCs w:val="32"/>
          <w:lang w:val="en-US" w:eastAsia="zh-CN"/>
        </w:rPr>
        <w:t>对其他经营者的控制权或者能够对其他经营者施加决定性影响”。</w:t>
      </w:r>
      <w:r>
        <w:rPr>
          <w:rFonts w:hint="default" w:ascii="Times New Roman" w:hAnsi="Times New Roman" w:eastAsia="仿宋_GB2312" w:cs="Times New Roman"/>
          <w:b w:val="0"/>
          <w:bCs w:val="0"/>
          <w:sz w:val="32"/>
          <w:szCs w:val="32"/>
          <w:lang w:eastAsia="zh-CN"/>
        </w:rPr>
        <w:t>萃</w:t>
      </w:r>
      <w:r>
        <w:rPr>
          <w:rFonts w:hint="default" w:ascii="Times New Roman" w:hAnsi="Times New Roman" w:eastAsia="仿宋_GB2312" w:cs="Times New Roman"/>
          <w:bCs/>
          <w:kern w:val="2"/>
          <w:sz w:val="32"/>
          <w:szCs w:val="32"/>
          <w:lang w:val="en-US" w:eastAsia="zh-CN" w:bidi="ar-SA"/>
        </w:rPr>
        <w:t>联中国收购沈阳捷通60%股权并取得控制权，</w:t>
      </w:r>
      <w:r>
        <w:rPr>
          <w:rFonts w:hint="default" w:ascii="Times New Roman" w:hAnsi="Times New Roman" w:eastAsia="仿宋_GB2312" w:cs="Times New Roman"/>
          <w:bCs/>
          <w:sz w:val="32"/>
          <w:szCs w:val="32"/>
          <w:lang w:eastAsia="zh-CN"/>
        </w:rPr>
        <w:t>属于《反垄断法》第二十条规定的经营者集中。</w:t>
      </w:r>
    </w:p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pacing w:line="594" w:lineRule="exact"/>
        <w:ind w:firstLine="628" w:firstLineChars="200"/>
        <w:jc w:val="both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kern w:val="2"/>
          <w:sz w:val="32"/>
          <w:szCs w:val="32"/>
          <w:lang w:val="en-US" w:eastAsia="zh-CN" w:bidi="ar-SA"/>
        </w:rPr>
        <w:t>萃联中国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val="en-US" w:eastAsia="zh-CN"/>
        </w:rPr>
        <w:t>2018年全球营业额约为（略），中国境内营业额约为（略）</w:t>
      </w:r>
      <w:r>
        <w:rPr>
          <w:rFonts w:hint="default" w:ascii="Times New Roman" w:hAnsi="Times New Roman" w:eastAsia="仿宋_GB2312" w:cs="Times New Roman"/>
          <w:bCs/>
          <w:kern w:val="2"/>
          <w:sz w:val="32"/>
          <w:szCs w:val="32"/>
          <w:lang w:val="en-US" w:eastAsia="zh-CN" w:bidi="ar-SA"/>
        </w:rPr>
        <w:t>，沈阳捷通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val="en-US" w:eastAsia="zh-CN"/>
        </w:rPr>
        <w:t>2018年全球和中国境内营业额</w:t>
      </w:r>
      <w:r>
        <w:rPr>
          <w:rFonts w:hint="eastAsia" w:eastAsia="仿宋_GB2312" w:cs="Times New Roman"/>
          <w:color w:val="000000"/>
          <w:sz w:val="32"/>
          <w:szCs w:val="32"/>
          <w:lang w:val="en-US" w:eastAsia="zh-CN"/>
        </w:rPr>
        <w:t>均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val="en-US" w:eastAsia="zh-CN"/>
        </w:rPr>
        <w:t>为（略）</w:t>
      </w:r>
      <w:r>
        <w:rPr>
          <w:rFonts w:hint="default" w:ascii="Times New Roman" w:hAnsi="Times New Roman" w:eastAsia="仿宋_GB2312" w:cs="Times New Roman"/>
          <w:bCs/>
          <w:kern w:val="2"/>
          <w:sz w:val="32"/>
          <w:szCs w:val="32"/>
          <w:lang w:val="en-US" w:eastAsia="zh-CN" w:bidi="ar-SA"/>
        </w:rPr>
        <w:t>，</w:t>
      </w:r>
      <w:r>
        <w:rPr>
          <w:rFonts w:hint="default" w:ascii="Times New Roman" w:hAnsi="Times New Roman" w:eastAsia="仿宋_GB2312" w:cs="Times New Roman"/>
          <w:sz w:val="32"/>
          <w:szCs w:val="32"/>
        </w:rPr>
        <w:t>达到《国务院关于经营者集中申报标准的规定》第三条规定的申报标准，属于应当申报的情形。</w:t>
      </w:r>
    </w:p>
    <w:p>
      <w:pPr>
        <w:pStyle w:val="5"/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before="0" w:beforeAutospacing="0" w:after="0" w:afterAutospacing="0" w:line="594" w:lineRule="exact"/>
        <w:ind w:firstLine="628" w:firstLineChars="200"/>
        <w:jc w:val="both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</w:rPr>
        <w:t>《反垄断法》第二十一条规定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“经</w:t>
      </w:r>
      <w:r>
        <w:rPr>
          <w:rFonts w:hint="default" w:ascii="Times New Roman" w:hAnsi="Times New Roman" w:eastAsia="仿宋_GB2312" w:cs="Times New Roman"/>
          <w:sz w:val="32"/>
          <w:szCs w:val="32"/>
        </w:rPr>
        <w:t>营者集中达到国</w:t>
      </w:r>
      <w:r>
        <w:rPr>
          <w:rFonts w:hint="default" w:ascii="Times New Roman" w:hAnsi="Times New Roman" w:eastAsia="仿宋_GB2312" w:cs="Times New Roman"/>
          <w:bCs/>
          <w:kern w:val="2"/>
          <w:sz w:val="32"/>
          <w:szCs w:val="32"/>
          <w:u w:val="none"/>
          <w:lang w:val="en-US" w:eastAsia="zh-CN" w:bidi="ar-SA"/>
        </w:rPr>
        <w:t>务院规定的申报标准的，经营者应当事先向国务院反垄断执法机构申报，未申报的不得实施集中”。</w:t>
      </w:r>
      <w:r>
        <w:rPr>
          <w:rFonts w:hint="default" w:ascii="Times New Roman" w:hAnsi="Times New Roman" w:eastAsia="仿宋_GB2312" w:cs="Times New Roman"/>
          <w:bCs/>
          <w:kern w:val="2"/>
          <w:sz w:val="32"/>
          <w:szCs w:val="32"/>
          <w:lang w:val="en-US" w:eastAsia="zh-CN" w:bidi="ar-SA"/>
        </w:rPr>
        <w:t>2019年6月18日，沈阳捷通</w:t>
      </w:r>
      <w:r>
        <w:rPr>
          <w:rFonts w:hint="default" w:ascii="Times New Roman" w:hAnsi="Times New Roman" w:eastAsia="仿宋_GB2312" w:cs="Times New Roman"/>
          <w:bCs/>
          <w:sz w:val="32"/>
          <w:szCs w:val="32"/>
          <w:lang w:val="en-US" w:eastAsia="zh-CN"/>
        </w:rPr>
        <w:t>完成</w:t>
      </w:r>
      <w:r>
        <w:rPr>
          <w:rFonts w:hint="default" w:ascii="Times New Roman" w:hAnsi="Times New Roman" w:eastAsia="仿宋_GB2312" w:cs="Times New Roman"/>
          <w:bCs/>
          <w:kern w:val="2"/>
          <w:sz w:val="32"/>
          <w:szCs w:val="32"/>
          <w:lang w:val="en-US" w:eastAsia="zh-CN" w:bidi="ar-SA"/>
        </w:rPr>
        <w:t>股权变更登记，</w:t>
      </w:r>
      <w:r>
        <w:rPr>
          <w:rFonts w:hint="eastAsia" w:ascii="Times New Roman" w:hAnsi="Times New Roman" w:eastAsia="仿宋_GB2312" w:cs="Times New Roman"/>
          <w:bCs/>
          <w:kern w:val="2"/>
          <w:sz w:val="32"/>
          <w:szCs w:val="32"/>
          <w:lang w:val="en-US" w:eastAsia="zh-CN" w:bidi="ar-SA"/>
        </w:rPr>
        <w:t>在此之前未向</w:t>
      </w:r>
      <w:r>
        <w:rPr>
          <w:rFonts w:hint="eastAsia" w:ascii="Times New Roman" w:hAnsi="Times New Roman" w:eastAsia="仿宋_GB2312" w:cs="Times New Roman"/>
          <w:bCs/>
          <w:kern w:val="2"/>
          <w:sz w:val="32"/>
          <w:szCs w:val="32"/>
          <w:u w:val="none"/>
          <w:lang w:val="en-US" w:eastAsia="zh-CN" w:bidi="ar-SA"/>
        </w:rPr>
        <w:t>本机关</w:t>
      </w:r>
      <w:r>
        <w:rPr>
          <w:rFonts w:hint="eastAsia" w:ascii="Times New Roman" w:hAnsi="Times New Roman" w:eastAsia="仿宋_GB2312" w:cs="Times New Roman"/>
          <w:bCs/>
          <w:kern w:val="2"/>
          <w:sz w:val="32"/>
          <w:szCs w:val="32"/>
          <w:lang w:val="en-US" w:eastAsia="zh-CN" w:bidi="ar-SA"/>
        </w:rPr>
        <w:t>申报，</w:t>
      </w:r>
      <w:r>
        <w:rPr>
          <w:rFonts w:hint="default" w:ascii="Times New Roman" w:hAnsi="Times New Roman" w:eastAsia="仿宋_GB2312" w:cs="Times New Roman"/>
          <w:bCs/>
          <w:kern w:val="2"/>
          <w:sz w:val="32"/>
          <w:szCs w:val="32"/>
          <w:u w:val="none"/>
          <w:lang w:val="en-US" w:eastAsia="zh-CN" w:bidi="ar-SA"/>
        </w:rPr>
        <w:t>违反《反垄断法》第二十一条，构成违法实施</w:t>
      </w:r>
      <w:r>
        <w:rPr>
          <w:rFonts w:hint="default" w:ascii="Times New Roman" w:hAnsi="Times New Roman" w:eastAsia="仿宋_GB2312" w:cs="Times New Roman"/>
          <w:sz w:val="32"/>
          <w:szCs w:val="32"/>
        </w:rPr>
        <w:t>的经营者集中。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firstLine="628" w:firstLineChars="200"/>
        <w:textAlignment w:val="auto"/>
        <w:rPr>
          <w:rFonts w:hint="default" w:ascii="Times New Roman" w:hAnsi="Times New Roman" w:eastAsia="楷体_GB2312" w:cs="Times New Roman"/>
          <w:b w:val="0"/>
          <w:bCs w:val="0"/>
          <w:kern w:val="2"/>
          <w:sz w:val="32"/>
          <w:szCs w:val="32"/>
        </w:rPr>
      </w:pPr>
      <w:r>
        <w:rPr>
          <w:rFonts w:hint="default" w:ascii="Times New Roman" w:hAnsi="Times New Roman" w:eastAsia="楷体_GB2312" w:cs="Times New Roman"/>
          <w:b w:val="0"/>
          <w:bCs w:val="0"/>
          <w:kern w:val="2"/>
          <w:sz w:val="32"/>
          <w:szCs w:val="32"/>
        </w:rPr>
        <w:t>（二）本案不具有排除、限制竞争的效果。</w:t>
      </w:r>
    </w:p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pacing w:line="594" w:lineRule="exact"/>
        <w:ind w:firstLine="628" w:firstLineChars="200"/>
        <w:textAlignment w:val="auto"/>
        <w:outlineLvl w:val="0"/>
        <w:rPr>
          <w:rFonts w:hint="default" w:ascii="Times New Roman" w:hAnsi="Times New Roman" w:eastAsia="仿宋_GB2312" w:cs="Times New Roman"/>
          <w:kern w:val="2"/>
          <w:sz w:val="32"/>
          <w:szCs w:val="32"/>
        </w:rPr>
      </w:pP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本机关就</w:t>
      </w:r>
      <w:r>
        <w:rPr>
          <w:rFonts w:hint="default" w:ascii="Times New Roman" w:hAnsi="Times New Roman" w:eastAsia="仿宋_GB2312" w:cs="Times New Roman"/>
          <w:bCs/>
          <w:kern w:val="2"/>
          <w:sz w:val="32"/>
          <w:szCs w:val="32"/>
          <w:lang w:val="en-US" w:eastAsia="zh-CN" w:bidi="ar-SA"/>
        </w:rPr>
        <w:t>萃联中国收购沈阳捷通股权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对市场竞争的影响进行了评估，评估认为，该项经营者集中不会产生排除、限制竞争的效果。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firstLine="628" w:firstLineChars="200"/>
        <w:textAlignment w:val="auto"/>
        <w:rPr>
          <w:rFonts w:hint="default" w:ascii="Times New Roman" w:hAnsi="Times New Roman" w:eastAsia="黑体" w:cs="Times New Roman"/>
          <w:kern w:val="2"/>
          <w:sz w:val="32"/>
          <w:szCs w:val="32"/>
        </w:rPr>
      </w:pPr>
      <w:r>
        <w:rPr>
          <w:rFonts w:hint="default" w:ascii="Times New Roman" w:hAnsi="Times New Roman" w:eastAsia="黑体" w:cs="Times New Roman"/>
          <w:kern w:val="2"/>
          <w:sz w:val="32"/>
          <w:szCs w:val="32"/>
        </w:rPr>
        <w:t>三、行政处罚依据和决定</w:t>
      </w:r>
    </w:p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pacing w:line="594" w:lineRule="exact"/>
        <w:ind w:firstLine="616" w:firstLineChars="196"/>
        <w:textAlignment w:val="auto"/>
        <w:rPr>
          <w:rFonts w:hint="default" w:ascii="Times New Roman" w:hAnsi="Times New Roman" w:eastAsia="仿宋_GB2312" w:cs="Times New Roman"/>
          <w:bCs/>
          <w:color w:val="000000"/>
          <w:kern w:val="2"/>
          <w:sz w:val="32"/>
          <w:szCs w:val="32"/>
          <w:lang w:eastAsia="zh-CN"/>
        </w:rPr>
      </w:pPr>
      <w:r>
        <w:rPr>
          <w:rFonts w:hint="default" w:ascii="Times New Roman" w:hAnsi="Times New Roman" w:eastAsia="仿宋_GB2312" w:cs="Times New Roman"/>
          <w:bCs/>
          <w:color w:val="000000"/>
          <w:kern w:val="2"/>
          <w:sz w:val="32"/>
          <w:szCs w:val="32"/>
        </w:rPr>
        <w:t>《反垄断法》第四十八条</w:t>
      </w:r>
      <w:r>
        <w:rPr>
          <w:rFonts w:hint="default" w:ascii="Times New Roman" w:hAnsi="Times New Roman" w:eastAsia="仿宋_GB2312" w:cs="Times New Roman"/>
          <w:bCs/>
          <w:color w:val="000000"/>
          <w:kern w:val="2"/>
          <w:sz w:val="32"/>
          <w:szCs w:val="32"/>
          <w:lang w:eastAsia="zh-CN"/>
        </w:rPr>
        <w:t>规定“经营者违反本法规定实施集中的，由国务院反垄断执法机构责令停止实施集中、限期处分股份或者资产、限期转让营业以及采取其他必要措施恢复到集中前的状态，可以处五十万元以下的罚款”。</w:t>
      </w:r>
      <w:r>
        <w:rPr>
          <w:rFonts w:hint="default" w:ascii="Times New Roman" w:hAnsi="Times New Roman" w:eastAsia="仿宋_GB2312" w:cs="Times New Roman"/>
          <w:bCs/>
          <w:color w:val="000000"/>
          <w:kern w:val="2"/>
          <w:sz w:val="32"/>
          <w:szCs w:val="32"/>
        </w:rPr>
        <w:t>《反垄断法》第四十九条</w:t>
      </w:r>
      <w:r>
        <w:rPr>
          <w:rFonts w:hint="default" w:ascii="Times New Roman" w:hAnsi="Times New Roman" w:eastAsia="仿宋_GB2312" w:cs="Times New Roman"/>
          <w:bCs/>
          <w:color w:val="000000"/>
          <w:kern w:val="2"/>
          <w:sz w:val="32"/>
          <w:szCs w:val="32"/>
          <w:lang w:eastAsia="zh-CN"/>
        </w:rPr>
        <w:t>规定“对本法第四十六条、第四十七条、第四十八条规定的罚款，反垄断执法机构确定具体罚款数额时，应当考虑违法行为的性质、程度和持续的时间等因素”。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firstLine="628" w:firstLineChars="200"/>
        <w:textAlignment w:val="auto"/>
        <w:rPr>
          <w:rFonts w:hint="default" w:ascii="Times New Roman" w:hAnsi="Times New Roman" w:eastAsia="仿宋_GB2312" w:cs="Times New Roman"/>
          <w:bCs/>
          <w:color w:val="000000"/>
          <w:kern w:val="2"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color w:val="000000"/>
          <w:kern w:val="2"/>
          <w:sz w:val="32"/>
          <w:szCs w:val="32"/>
        </w:rPr>
        <w:t>根据</w:t>
      </w:r>
      <w:r>
        <w:rPr>
          <w:rFonts w:hint="default" w:ascii="Times New Roman" w:hAnsi="Times New Roman" w:eastAsia="仿宋_GB2312" w:cs="Times New Roman"/>
          <w:bCs/>
          <w:color w:val="000000"/>
          <w:kern w:val="2"/>
          <w:sz w:val="32"/>
          <w:szCs w:val="32"/>
          <w:lang w:eastAsia="zh-CN"/>
        </w:rPr>
        <w:t>上述规定，</w:t>
      </w:r>
      <w:r>
        <w:rPr>
          <w:rFonts w:hint="default" w:ascii="Times New Roman" w:hAnsi="Times New Roman" w:eastAsia="仿宋_GB2312" w:cs="Times New Roman"/>
          <w:bCs/>
          <w:color w:val="000000"/>
          <w:kern w:val="2"/>
          <w:sz w:val="32"/>
          <w:szCs w:val="32"/>
        </w:rPr>
        <w:t>基于调查情况和评估结论，本机关</w:t>
      </w:r>
      <w:r>
        <w:rPr>
          <w:rFonts w:hint="default" w:ascii="Times New Roman" w:hAnsi="Times New Roman" w:eastAsia="仿宋_GB2312" w:cs="Times New Roman"/>
          <w:bCs/>
          <w:color w:val="000000"/>
          <w:kern w:val="2"/>
          <w:sz w:val="32"/>
          <w:szCs w:val="32"/>
          <w:lang w:eastAsia="zh-CN"/>
        </w:rPr>
        <w:t>给予</w:t>
      </w:r>
      <w:r>
        <w:rPr>
          <w:rFonts w:hint="default" w:ascii="Times New Roman" w:hAnsi="Times New Roman" w:eastAsia="仿宋_GB2312" w:cs="Times New Roman"/>
          <w:bCs/>
          <w:kern w:val="2"/>
          <w:sz w:val="32"/>
          <w:szCs w:val="32"/>
          <w:lang w:val="en-US" w:eastAsia="zh-CN" w:bidi="ar-SA"/>
        </w:rPr>
        <w:t>萃联中国</w:t>
      </w:r>
      <w:r>
        <w:rPr>
          <w:rFonts w:hint="eastAsia" w:eastAsia="仿宋_GB2312" w:cs="Times New Roman"/>
          <w:bCs/>
          <w:sz w:val="32"/>
          <w:szCs w:val="32"/>
          <w:lang w:val="en-US" w:eastAsia="zh-CN"/>
        </w:rPr>
        <w:t>3</w:t>
      </w:r>
      <w:r>
        <w:rPr>
          <w:rFonts w:hint="default" w:ascii="Times New Roman" w:hAnsi="Times New Roman" w:eastAsia="仿宋_GB2312" w:cs="Times New Roman"/>
          <w:bCs/>
          <w:color w:val="000000"/>
          <w:kern w:val="2"/>
          <w:sz w:val="32"/>
          <w:szCs w:val="32"/>
        </w:rPr>
        <w:t>0万元</w:t>
      </w:r>
      <w:r>
        <w:rPr>
          <w:rFonts w:hint="default" w:ascii="Times New Roman" w:hAnsi="Times New Roman" w:eastAsia="仿宋_GB2312" w:cs="Times New Roman"/>
          <w:bCs/>
          <w:color w:val="000000"/>
          <w:kern w:val="2"/>
          <w:sz w:val="32"/>
          <w:szCs w:val="32"/>
          <w:lang w:eastAsia="zh-CN"/>
        </w:rPr>
        <w:t>罚款</w:t>
      </w:r>
      <w:r>
        <w:rPr>
          <w:rFonts w:hint="default" w:ascii="Times New Roman" w:hAnsi="Times New Roman" w:eastAsia="仿宋_GB2312" w:cs="Times New Roman"/>
          <w:bCs/>
          <w:color w:val="000000"/>
          <w:kern w:val="2"/>
          <w:sz w:val="32"/>
          <w:szCs w:val="32"/>
        </w:rPr>
        <w:t>的行政处罚。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firstLine="628" w:firstLineChars="200"/>
        <w:textAlignment w:val="auto"/>
        <w:rPr>
          <w:rFonts w:hint="default" w:ascii="Times New Roman" w:hAnsi="Times New Roman" w:eastAsia="仿宋_GB2312" w:cs="Times New Roman"/>
          <w:kern w:val="2"/>
          <w:sz w:val="32"/>
          <w:szCs w:val="32"/>
          <w:lang w:eastAsia="zh-CN"/>
        </w:rPr>
      </w:pP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《行政处罚法》第四十六条规定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eastAsia="zh-CN"/>
        </w:rPr>
        <w:t>“作出罚款决定的行政机关应当与收缴罚款的机构分离。除依照本法第四十七条、第四十八条的规定当场收缴的罚款</w:t>
      </w:r>
      <w:bookmarkStart w:id="0" w:name="_GoBack"/>
      <w:bookmarkEnd w:id="0"/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eastAsia="zh-CN"/>
        </w:rPr>
        <w:t>外，作出行政处罚决定的行政机关及其执法人员不得自行收缴罚款。当事人应当自收到行政处罚决定书之日起十五日内，到指定的银行缴纳罚款。银行应当收受罚款，并将罚款直接上缴国库”。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firstLine="628" w:firstLineChars="200"/>
        <w:textAlignment w:val="auto"/>
        <w:rPr>
          <w:rFonts w:hint="default" w:ascii="Times New Roman" w:hAnsi="Times New Roman" w:eastAsia="仿宋_GB2312" w:cs="Times New Roman"/>
          <w:kern w:val="2"/>
          <w:sz w:val="32"/>
          <w:szCs w:val="32"/>
        </w:rPr>
      </w:pP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eastAsia="zh-CN"/>
        </w:rPr>
        <w:t>当事人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应当自收到本行政处罚决定书之日起十五日内，根据本行政处罚决定书，携缴款码到12家中央财政非税收入收缴代理银行（工、农、中、建、交、中信、光大、招商、邮储、华夏、平安、兴业）任一银行网点或者网上银行交纳罚款。缴款码：</w:t>
      </w:r>
      <w:r>
        <w:rPr>
          <w:rFonts w:hint="eastAsia" w:eastAsia="仿宋_GB2312" w:cs="Times New Roman"/>
          <w:color w:val="auto"/>
          <w:kern w:val="2"/>
          <w:sz w:val="32"/>
          <w:szCs w:val="32"/>
          <w:highlight w:val="none"/>
          <w:lang w:val="en-US" w:eastAsia="zh-CN"/>
        </w:rPr>
        <w:t>0000002101210541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firstLine="628" w:firstLineChars="200"/>
        <w:textAlignment w:val="auto"/>
        <w:rPr>
          <w:rFonts w:hint="default" w:ascii="Times New Roman" w:hAnsi="Times New Roman" w:eastAsia="仿宋_GB2312" w:cs="Times New Roman"/>
          <w:kern w:val="2"/>
          <w:sz w:val="32"/>
          <w:szCs w:val="32"/>
        </w:rPr>
      </w:pP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eastAsia="zh-CN"/>
        </w:rPr>
        <w:t>当事人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 xml:space="preserve">如对上述行政处罚决定不服，可以自收到本行政处罚决定书之日起六十日内，向国家市场监督管理总局申请行政复议；或者自收到本行政处罚决定书之日起六个月内，依法向人民法院提起行政诉讼。行政复议或者行政诉讼期间，本行政处罚决定不停止执行。 </w:t>
      </w:r>
    </w:p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napToGrid w:val="0"/>
        <w:spacing w:line="594" w:lineRule="exact"/>
        <w:ind w:firstLine="5433" w:firstLineChars="1730"/>
        <w:textAlignment w:val="auto"/>
        <w:rPr>
          <w:rFonts w:hint="default" w:ascii="Times New Roman" w:hAnsi="Times New Roman" w:eastAsia="仿宋_GB2312" w:cs="Times New Roman"/>
          <w:kern w:val="2"/>
          <w:sz w:val="32"/>
          <w:szCs w:val="32"/>
        </w:rPr>
      </w:pP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市场监管总局</w:t>
      </w:r>
    </w:p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napToGrid w:val="0"/>
        <w:spacing w:line="594" w:lineRule="exact"/>
        <w:ind w:firstLine="5225" w:firstLineChars="1664"/>
        <w:textAlignment w:val="auto"/>
        <w:rPr>
          <w:rFonts w:hint="default" w:ascii="Times New Roman" w:hAnsi="Times New Roman" w:eastAsia="仿宋_GB2312" w:cs="Times New Roman"/>
          <w:kern w:val="2"/>
          <w:sz w:val="32"/>
          <w:szCs w:val="32"/>
        </w:rPr>
      </w:pP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202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/>
        </w:rPr>
        <w:t>1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年</w:t>
      </w:r>
      <w:r>
        <w:rPr>
          <w:rFonts w:hint="eastAsia" w:eastAsia="仿宋_GB2312" w:cs="Times New Roman"/>
          <w:kern w:val="2"/>
          <w:sz w:val="32"/>
          <w:szCs w:val="32"/>
          <w:lang w:val="en-US" w:eastAsia="zh-CN"/>
        </w:rPr>
        <w:t>7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月</w:t>
      </w:r>
      <w:r>
        <w:rPr>
          <w:rFonts w:hint="eastAsia" w:eastAsia="仿宋_GB2312" w:cs="Times New Roman"/>
          <w:kern w:val="2"/>
          <w:sz w:val="32"/>
          <w:szCs w:val="32"/>
          <w:lang w:val="en-US" w:eastAsia="zh-CN"/>
        </w:rPr>
        <w:t>5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日</w:t>
      </w:r>
    </w:p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pacing w:line="594" w:lineRule="exact"/>
        <w:ind w:firstLine="628" w:firstLineChars="200"/>
        <w:textAlignment w:val="auto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（此件公开发布）</w:t>
      </w:r>
    </w:p>
    <w:sectPr>
      <w:footerReference r:id="rId3" w:type="default"/>
      <w:footerReference r:id="rId4" w:type="even"/>
      <w:pgSz w:w="11906" w:h="16838"/>
      <w:pgMar w:top="2098" w:right="1474" w:bottom="1985" w:left="1474" w:header="851" w:footer="1814" w:gutter="0"/>
      <w:cols w:space="720" w:num="1"/>
      <w:docGrid w:type="linesAndChars" w:linePitch="289" w:charSpace="-131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framePr w:wrap="around" w:vAnchor="text" w:hAnchor="margin" w:xAlign="outside" w:y="1"/>
      <w:ind w:left="315" w:leftChars="150" w:right="315" w:rightChars="150"/>
      <w:rPr>
        <w:rStyle w:val="7"/>
        <w:rFonts w:hint="eastAsia" w:ascii="宋体" w:hAnsi="宋体"/>
        <w:sz w:val="28"/>
        <w:szCs w:val="28"/>
      </w:rPr>
    </w:pPr>
    <w:r>
      <w:rPr>
        <w:rStyle w:val="7"/>
        <w:rFonts w:hint="eastAsia" w:ascii="宋体" w:hAnsi="宋体"/>
        <w:sz w:val="28"/>
        <w:szCs w:val="28"/>
      </w:rPr>
      <w:t xml:space="preserve">— </w:t>
    </w:r>
    <w:r>
      <w:rPr>
        <w:rStyle w:val="7"/>
        <w:rFonts w:ascii="宋体" w:hAnsi="宋体"/>
        <w:sz w:val="28"/>
        <w:szCs w:val="28"/>
      </w:rPr>
      <w:fldChar w:fldCharType="begin"/>
    </w:r>
    <w:r>
      <w:rPr>
        <w:rStyle w:val="7"/>
        <w:rFonts w:ascii="宋体" w:hAnsi="宋体"/>
        <w:sz w:val="28"/>
        <w:szCs w:val="28"/>
      </w:rPr>
      <w:instrText xml:space="preserve">PAGE  </w:instrText>
    </w:r>
    <w:r>
      <w:rPr>
        <w:rStyle w:val="7"/>
        <w:rFonts w:ascii="宋体" w:hAnsi="宋体"/>
        <w:sz w:val="28"/>
        <w:szCs w:val="28"/>
      </w:rPr>
      <w:fldChar w:fldCharType="separate"/>
    </w:r>
    <w:r>
      <w:rPr>
        <w:rStyle w:val="7"/>
        <w:rFonts w:ascii="宋体" w:hAnsi="宋体"/>
        <w:sz w:val="28"/>
        <w:szCs w:val="28"/>
      </w:rPr>
      <w:t>1</w:t>
    </w:r>
    <w:r>
      <w:rPr>
        <w:rStyle w:val="7"/>
        <w:rFonts w:ascii="宋体" w:hAnsi="宋体"/>
        <w:sz w:val="28"/>
        <w:szCs w:val="28"/>
      </w:rPr>
      <w:fldChar w:fldCharType="end"/>
    </w:r>
    <w:r>
      <w:rPr>
        <w:rStyle w:val="7"/>
        <w:rFonts w:hint="eastAsia" w:ascii="宋体" w:hAnsi="宋体"/>
        <w:sz w:val="28"/>
        <w:szCs w:val="28"/>
      </w:rPr>
      <w:t xml:space="preserve"> —</w:t>
    </w:r>
  </w:p>
  <w:p>
    <w:pPr>
      <w:pStyle w:val="4"/>
      <w:ind w:right="360"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framePr w:wrap="around" w:vAnchor="text" w:hAnchor="margin" w:xAlign="outside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end"/>
    </w:r>
  </w:p>
  <w:p>
    <w:pPr>
      <w:pStyle w:val="4"/>
      <w:ind w:right="360" w:firstLine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3570B1"/>
    <w:rsid w:val="05D15580"/>
    <w:rsid w:val="075F674C"/>
    <w:rsid w:val="07EB0D04"/>
    <w:rsid w:val="09AC08F5"/>
    <w:rsid w:val="0C8C5454"/>
    <w:rsid w:val="13F85EFD"/>
    <w:rsid w:val="16657401"/>
    <w:rsid w:val="169767E4"/>
    <w:rsid w:val="18DB1E51"/>
    <w:rsid w:val="192053EE"/>
    <w:rsid w:val="1A156921"/>
    <w:rsid w:val="1B095395"/>
    <w:rsid w:val="1D3570B1"/>
    <w:rsid w:val="1F573D93"/>
    <w:rsid w:val="265326DA"/>
    <w:rsid w:val="28C8606C"/>
    <w:rsid w:val="29171A1E"/>
    <w:rsid w:val="31E778A8"/>
    <w:rsid w:val="33B94AAA"/>
    <w:rsid w:val="38043EF0"/>
    <w:rsid w:val="4297136E"/>
    <w:rsid w:val="44F1186A"/>
    <w:rsid w:val="49513DE5"/>
    <w:rsid w:val="49F75885"/>
    <w:rsid w:val="4A2454BE"/>
    <w:rsid w:val="4ABC40B8"/>
    <w:rsid w:val="4EF957B9"/>
    <w:rsid w:val="4EFD73AF"/>
    <w:rsid w:val="51075873"/>
    <w:rsid w:val="52A77C54"/>
    <w:rsid w:val="55C33D7D"/>
    <w:rsid w:val="55FC30F3"/>
    <w:rsid w:val="57BE4506"/>
    <w:rsid w:val="5BDD2331"/>
    <w:rsid w:val="5C686AC3"/>
    <w:rsid w:val="5D4E6DD5"/>
    <w:rsid w:val="630535E1"/>
    <w:rsid w:val="63432760"/>
    <w:rsid w:val="640E6FE8"/>
    <w:rsid w:val="66C445CC"/>
    <w:rsid w:val="68197930"/>
    <w:rsid w:val="686D740E"/>
    <w:rsid w:val="6F712D0C"/>
    <w:rsid w:val="7073388E"/>
    <w:rsid w:val="73D26467"/>
    <w:rsid w:val="74B92998"/>
    <w:rsid w:val="7A4015EB"/>
    <w:rsid w:val="7A782B89"/>
    <w:rsid w:val="7CB624CE"/>
    <w:rsid w:val="7D641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nhideWhenUsed/>
    <w:qFormat/>
    <w:uiPriority w:val="0"/>
    <w:pPr>
      <w:spacing w:after="120"/>
    </w:pPr>
    <w:rPr>
      <w:rFonts w:ascii="Calibri" w:hAnsi="Calibri" w:eastAsia="宋体" w:cs="Times New Roman"/>
      <w:szCs w:val="22"/>
    </w:rPr>
  </w:style>
  <w:style w:type="paragraph" w:styleId="3">
    <w:name w:val="Normal Indent"/>
    <w:basedOn w:val="1"/>
    <w:qFormat/>
    <w:uiPriority w:val="0"/>
    <w:pPr>
      <w:spacing w:line="360" w:lineRule="exact"/>
      <w:ind w:firstLine="420" w:firstLineChars="200"/>
    </w:pPr>
    <w:rPr>
      <w:szCs w:val="20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7">
    <w:name w:val="page number"/>
    <w:basedOn w:val="6"/>
    <w:qFormat/>
    <w:uiPriority w:val="0"/>
  </w:style>
  <w:style w:type="paragraph" w:customStyle="1" w:styleId="9">
    <w:name w:val="内容"/>
    <w:basedOn w:val="1"/>
    <w:qFormat/>
    <w:uiPriority w:val="0"/>
    <w:pPr>
      <w:suppressAutoHyphens/>
      <w:overflowPunct w:val="0"/>
      <w:autoSpaceDE w:val="0"/>
      <w:autoSpaceDN w:val="0"/>
      <w:adjustRightInd w:val="0"/>
      <w:spacing w:line="360" w:lineRule="auto"/>
      <w:ind w:firstLine="200" w:firstLineChars="200"/>
    </w:pPr>
    <w:rPr>
      <w:rFonts w:ascii="仿宋_GB2312" w:hAnsi="仿宋_GB2312" w:eastAsia="仿宋_GB231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Office_10.8.2.7129_F1E327BC-269C-435d-A152-05C5408002CA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2020-12-10T02:26:00Z</dcterms:created>
  <dc:creator>徐霄飞</dc:creator>
  <cp:lastModifiedBy>徐霄飞</cp:lastModifiedBy>
  <cp:lastPrinted>2021-03-10T02:30:00Z</cp:lastPrinted>
  <dcterms:modified xsi:type="dcterms:W3CDTF">2021-07-06T05:31:56Z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2052-10.8.2.7129</vt:lpwstr>
  </property>
</Properties>
</file>