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ascii="黑体" w:hAnsi="黑体" w:eastAsia="黑体" w:cs="黑体"/>
          <w:bCs/>
          <w:kern w:val="0"/>
          <w:sz w:val="36"/>
          <w:szCs w:val="36"/>
          <w:lang w:val="en-GB" w:bidi="ar-AE"/>
        </w:rPr>
      </w:pPr>
      <w:r>
        <w:rPr>
          <w:rFonts w:hint="eastAsia" w:ascii="黑体" w:hAnsi="黑体" w:eastAsia="黑体" w:cs="黑体"/>
          <w:bCs/>
          <w:kern w:val="0"/>
          <w:sz w:val="36"/>
          <w:szCs w:val="36"/>
          <w:lang w:val="en-GB" w:bidi="ar-AE"/>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eastAsia="en-GB" w:bidi="ar-AE"/>
              </w:rPr>
            </w:pPr>
            <w:r>
              <w:rPr>
                <w:rFonts w:hint="eastAsia" w:ascii="宋体" w:hAnsi="宋体" w:eastAsia="宋体" w:cs="宋体"/>
                <w:bCs/>
                <w:color w:val="000000"/>
                <w:kern w:val="0"/>
                <w:sz w:val="24"/>
                <w:szCs w:val="24"/>
                <w:lang w:val="en-GB" w:eastAsia="en-GB" w:bidi="ar-AE"/>
              </w:rPr>
              <w:t>案件名称</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新创建现代物流投资（深圳）有限公司收购江苏佳利达国际物流股份有限公司股权案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交易概况（限200字内）</w:t>
            </w:r>
          </w:p>
        </w:tc>
        <w:tc>
          <w:tcPr>
            <w:tcW w:w="7700" w:type="dxa"/>
            <w:gridSpan w:val="2"/>
            <w:vAlign w:val="center"/>
          </w:tcPr>
          <w:p>
            <w:pPr>
              <w:adjustRightInd w:val="0"/>
              <w:snapToGrid w:val="0"/>
              <w:rPr>
                <w:rFonts w:ascii="宋体" w:hAnsi="宋体" w:eastAsia="宋体" w:cs="宋体"/>
                <w:bCs/>
                <w:kern w:val="0"/>
                <w:sz w:val="24"/>
                <w:szCs w:val="24"/>
                <w:lang w:bidi="ar-AE"/>
              </w:rPr>
            </w:pPr>
            <w:r>
              <w:rPr>
                <w:rFonts w:hint="eastAsia" w:ascii="宋体" w:hAnsi="宋体" w:eastAsia="宋体" w:cs="宋体"/>
                <w:bCs/>
                <w:kern w:val="0"/>
                <w:sz w:val="24"/>
                <w:szCs w:val="24"/>
                <w:lang w:bidi="ar-AE"/>
              </w:rPr>
              <w:t>新创建现代物流投资（深圳）有限公司（“</w:t>
            </w:r>
            <w:r>
              <w:rPr>
                <w:rFonts w:hint="eastAsia" w:ascii="宋体" w:hAnsi="宋体" w:eastAsia="宋体" w:cs="宋体"/>
                <w:b/>
                <w:kern w:val="0"/>
                <w:sz w:val="24"/>
                <w:szCs w:val="24"/>
                <w:lang w:bidi="ar-AE"/>
              </w:rPr>
              <w:t>新创建</w:t>
            </w:r>
            <w:r>
              <w:rPr>
                <w:rFonts w:hint="eastAsia" w:ascii="宋体" w:hAnsi="宋体" w:eastAsia="宋体" w:cs="宋体"/>
                <w:bCs/>
                <w:kern w:val="0"/>
                <w:sz w:val="24"/>
                <w:szCs w:val="24"/>
                <w:lang w:bidi="ar-AE"/>
              </w:rPr>
              <w:t>”）与潘红斌等签署协议，拟通过认购江苏佳利达国际物流股份有限公司（“</w:t>
            </w:r>
            <w:r>
              <w:rPr>
                <w:rFonts w:hint="eastAsia" w:ascii="宋体" w:hAnsi="宋体" w:eastAsia="宋体" w:cs="宋体"/>
                <w:b/>
                <w:kern w:val="0"/>
                <w:sz w:val="24"/>
                <w:szCs w:val="24"/>
                <w:lang w:bidi="ar-AE"/>
              </w:rPr>
              <w:t>佳利达</w:t>
            </w:r>
            <w:r>
              <w:rPr>
                <w:rFonts w:hint="eastAsia" w:ascii="宋体" w:hAnsi="宋体" w:eastAsia="宋体" w:cs="宋体"/>
                <w:bCs/>
                <w:kern w:val="0"/>
                <w:sz w:val="24"/>
                <w:szCs w:val="24"/>
                <w:lang w:bidi="ar-AE"/>
              </w:rPr>
              <w:t>”）新增股份及收购佳利达某股东持有的佳利达的全部股份的方式合计取得佳利达</w:t>
            </w:r>
            <w:r>
              <w:rPr>
                <w:rFonts w:ascii="宋体" w:hAnsi="宋体" w:eastAsia="宋体" w:cs="宋体"/>
                <w:bCs/>
                <w:kern w:val="0"/>
                <w:sz w:val="24"/>
                <w:szCs w:val="24"/>
                <w:lang w:bidi="ar-AE"/>
              </w:rPr>
              <w:t>12%的股份。</w:t>
            </w:r>
            <w:r>
              <w:rPr>
                <w:rFonts w:hint="eastAsia" w:ascii="宋体" w:hAnsi="宋体" w:eastAsia="宋体" w:cs="宋体"/>
                <w:bCs/>
                <w:kern w:val="0"/>
                <w:sz w:val="24"/>
                <w:szCs w:val="24"/>
                <w:lang w:bidi="ar-AE"/>
              </w:rPr>
              <w:t>佳利达主要从事一体化综合物流业务。交易前，潘红斌</w:t>
            </w:r>
            <w:r>
              <w:rPr>
                <w:rFonts w:hint="eastAsia" w:ascii="宋体" w:hAnsi="宋体" w:eastAsia="宋体" w:cs="宋体"/>
                <w:bCs/>
                <w:kern w:val="0"/>
                <w:sz w:val="24"/>
                <w:szCs w:val="24"/>
                <w:lang w:eastAsia="zh-CN" w:bidi="ar-AE"/>
              </w:rPr>
              <w:t>直接和间接合计</w:t>
            </w:r>
            <w:r>
              <w:rPr>
                <w:rFonts w:hint="eastAsia" w:ascii="宋体" w:hAnsi="宋体" w:eastAsia="宋体" w:cs="宋体"/>
                <w:bCs/>
                <w:kern w:val="0"/>
                <w:sz w:val="24"/>
                <w:szCs w:val="24"/>
                <w:lang w:bidi="ar-AE"/>
              </w:rPr>
              <w:t>持有佳利达</w:t>
            </w:r>
            <w:r>
              <w:rPr>
                <w:rFonts w:ascii="宋体" w:hAnsi="宋体" w:eastAsia="宋体" w:cs="宋体"/>
                <w:bCs/>
                <w:kern w:val="0"/>
                <w:sz w:val="24"/>
                <w:szCs w:val="24"/>
                <w:lang w:bidi="ar-AE"/>
              </w:rPr>
              <w:t>54.8686%的股份，佳利达由潘红斌单独控制。</w:t>
            </w:r>
            <w:r>
              <w:rPr>
                <w:rFonts w:hint="eastAsia" w:ascii="宋体" w:hAnsi="宋体" w:eastAsia="宋体" w:cs="宋体"/>
                <w:bCs/>
                <w:kern w:val="0"/>
                <w:sz w:val="24"/>
                <w:szCs w:val="24"/>
                <w:lang w:bidi="ar-AE"/>
              </w:rPr>
              <w:t>交易后，新创建将持有佳利达</w:t>
            </w:r>
            <w:r>
              <w:rPr>
                <w:rFonts w:ascii="宋体" w:hAnsi="宋体" w:eastAsia="宋体" w:cs="宋体"/>
                <w:bCs/>
                <w:kern w:val="0"/>
                <w:sz w:val="24"/>
                <w:szCs w:val="24"/>
                <w:lang w:bidi="ar-AE"/>
              </w:rPr>
              <w:t>12%的股份，潘红斌</w:t>
            </w:r>
            <w:r>
              <w:rPr>
                <w:rFonts w:hint="eastAsia" w:ascii="宋体" w:hAnsi="宋体" w:eastAsia="宋体" w:cs="宋体"/>
                <w:bCs/>
                <w:kern w:val="0"/>
                <w:sz w:val="24"/>
                <w:szCs w:val="24"/>
                <w:lang w:eastAsia="zh-CN" w:bidi="ar-AE"/>
              </w:rPr>
              <w:t>直接和间接</w:t>
            </w:r>
            <w:r>
              <w:rPr>
                <w:rFonts w:ascii="宋体" w:hAnsi="宋体" w:eastAsia="宋体" w:cs="宋体"/>
                <w:bCs/>
                <w:kern w:val="0"/>
                <w:sz w:val="24"/>
                <w:szCs w:val="24"/>
                <w:lang w:bidi="ar-AE"/>
              </w:rPr>
              <w:t>合计持有佳利达52.6593%的股份，佳利达由新创建及潘红斌共同控制。</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参与集中的经营者简介（每个限</w:t>
            </w:r>
            <w:r>
              <w:rPr>
                <w:rFonts w:hint="eastAsia" w:ascii="宋体" w:hAnsi="宋体" w:eastAsia="宋体" w:cs="宋体"/>
                <w:bCs/>
                <w:color w:val="000000"/>
                <w:kern w:val="0"/>
                <w:sz w:val="24"/>
                <w:szCs w:val="24"/>
                <w:lang w:bidi="ar-AE"/>
              </w:rPr>
              <w:t>100字以内</w:t>
            </w:r>
            <w:r>
              <w:rPr>
                <w:rFonts w:hint="eastAsia" w:ascii="宋体" w:hAnsi="宋体" w:eastAsia="宋体" w:cs="宋体"/>
                <w:bCs/>
                <w:color w:val="000000"/>
                <w:kern w:val="0"/>
                <w:sz w:val="24"/>
                <w:szCs w:val="24"/>
                <w:lang w:val="en-GB" w:bidi="ar-AE"/>
              </w:rPr>
              <w:t>）</w:t>
            </w:r>
          </w:p>
        </w:tc>
        <w:tc>
          <w:tcPr>
            <w:tcW w:w="1607" w:type="dxa"/>
            <w:vAlign w:val="center"/>
          </w:tcPr>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1.</w:t>
            </w:r>
            <w:r>
              <w:rPr>
                <w:rFonts w:hint="eastAsia" w:ascii="Times New Roman" w:hAnsi="Times New Roman" w:eastAsia="宋体" w:cs="Simplified Arabic"/>
                <w:kern w:val="0"/>
                <w:sz w:val="24"/>
                <w:szCs w:val="24"/>
                <w:lang w:val="en-GB" w:eastAsia="en-GB" w:bidi="ar-AE"/>
              </w:rPr>
              <w:t xml:space="preserve"> </w:t>
            </w:r>
            <w:r>
              <w:rPr>
                <w:rFonts w:hint="eastAsia" w:ascii="Times New Roman" w:hAnsi="Times New Roman" w:eastAsia="宋体" w:cs="Simplified Arabic"/>
                <w:kern w:val="0"/>
                <w:sz w:val="24"/>
                <w:szCs w:val="24"/>
                <w:lang w:val="en-GB" w:bidi="ar-AE"/>
              </w:rPr>
              <w:t>新创建</w:t>
            </w:r>
          </w:p>
        </w:tc>
        <w:tc>
          <w:tcPr>
            <w:tcW w:w="6093" w:type="dxa"/>
            <w:vAlign w:val="center"/>
          </w:tcPr>
          <w:p>
            <w:pPr>
              <w:adjustRightInd w:val="0"/>
              <w:snapToGrid w:val="0"/>
              <w:rPr>
                <w:rFonts w:ascii="宋体" w:hAnsi="宋体" w:eastAsia="宋体" w:cs="宋体"/>
                <w:kern w:val="0"/>
                <w:sz w:val="24"/>
                <w:szCs w:val="24"/>
                <w:lang w:bidi="ar-AE"/>
              </w:rPr>
            </w:pPr>
            <w:r>
              <w:rPr>
                <w:rFonts w:hint="eastAsia" w:ascii="宋体" w:hAnsi="宋体" w:eastAsia="宋体" w:cs="宋体"/>
                <w:bCs/>
                <w:color w:val="000000"/>
                <w:kern w:val="0"/>
                <w:sz w:val="24"/>
                <w:szCs w:val="24"/>
                <w:lang w:bidi="ar-AE"/>
              </w:rPr>
              <w:t>新创建</w:t>
            </w:r>
            <w:r>
              <w:rPr>
                <w:rFonts w:hint="eastAsia" w:ascii="宋体" w:hAnsi="宋体" w:eastAsia="宋体" w:cs="宋体"/>
                <w:kern w:val="0"/>
                <w:sz w:val="24"/>
                <w:szCs w:val="24"/>
                <w:lang w:val="en-GB" w:bidi="ar-AE"/>
              </w:rPr>
              <w:t>于</w:t>
            </w:r>
            <w:r>
              <w:rPr>
                <w:rFonts w:ascii="宋体" w:hAnsi="宋体" w:eastAsia="宋体" w:cs="宋体"/>
                <w:kern w:val="0"/>
                <w:sz w:val="24"/>
                <w:szCs w:val="24"/>
                <w:lang w:bidi="ar-AE"/>
              </w:rPr>
              <w:t>2021年5月21日</w:t>
            </w:r>
            <w:r>
              <w:rPr>
                <w:rFonts w:hint="eastAsia" w:ascii="宋体" w:hAnsi="宋体" w:eastAsia="宋体" w:cs="宋体"/>
                <w:kern w:val="0"/>
                <w:sz w:val="24"/>
                <w:szCs w:val="24"/>
                <w:lang w:val="en-GB" w:bidi="ar-AE"/>
              </w:rPr>
              <w:t>成立于</w:t>
            </w:r>
            <w:r>
              <w:rPr>
                <w:rFonts w:hint="eastAsia" w:ascii="宋体" w:hAnsi="宋体" w:eastAsia="宋体" w:cs="宋体"/>
                <w:kern w:val="0"/>
                <w:sz w:val="24"/>
                <w:szCs w:val="24"/>
                <w:lang w:bidi="ar-AE"/>
              </w:rPr>
              <w:t>中国深圳市。</w:t>
            </w:r>
            <w:r>
              <w:rPr>
                <w:rFonts w:hint="eastAsia" w:ascii="宋体" w:hAnsi="宋体" w:eastAsia="宋体" w:cs="宋体"/>
                <w:kern w:val="0"/>
                <w:sz w:val="24"/>
                <w:szCs w:val="24"/>
                <w:lang w:val="en-GB" w:bidi="ar-AE"/>
              </w:rPr>
              <w:t>新创建主要从事投资业务。</w:t>
            </w:r>
          </w:p>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kern w:val="0"/>
                <w:sz w:val="24"/>
                <w:szCs w:val="24"/>
                <w:lang w:bidi="ar-AE"/>
              </w:rPr>
              <w:t>新创建的</w:t>
            </w:r>
            <w:r>
              <w:rPr>
                <w:rFonts w:hint="eastAsia" w:ascii="宋体" w:hAnsi="宋体" w:eastAsia="宋体" w:cs="宋体"/>
                <w:kern w:val="0"/>
                <w:sz w:val="24"/>
                <w:szCs w:val="24"/>
                <w:lang w:val="en-GB" w:bidi="ar-AE"/>
              </w:rPr>
              <w:t>最终控制人为</w:t>
            </w:r>
            <w:r>
              <w:rPr>
                <w:rFonts w:hint="eastAsia" w:ascii="宋体" w:hAnsi="宋体" w:eastAsia="宋体" w:cs="宋体"/>
                <w:kern w:val="0"/>
                <w:sz w:val="24"/>
                <w:szCs w:val="24"/>
                <w:lang w:bidi="ar-AE"/>
              </w:rPr>
              <w:t>新世界发展有限公司，主要业务包括物业发展、物业投资及投资及</w:t>
            </w:r>
            <w:r>
              <w:rPr>
                <w:rFonts w:ascii="宋体" w:hAnsi="宋体" w:eastAsia="宋体" w:cs="宋体"/>
                <w:kern w:val="0"/>
                <w:sz w:val="24"/>
                <w:szCs w:val="24"/>
                <w:lang w:bidi="ar-AE"/>
              </w:rPr>
              <w:t>/或经营公路、商务飞机租赁、建筑、保险、酒店及其他策略性业务。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1607" w:type="dxa"/>
            <w:vAlign w:val="center"/>
          </w:tcPr>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2.</w:t>
            </w:r>
            <w:r>
              <w:rPr>
                <w:rFonts w:hint="eastAsia" w:ascii="Times New Roman" w:hAnsi="Times New Roman" w:eastAsia="宋体" w:cs="Simplified Arabic"/>
                <w:kern w:val="0"/>
                <w:sz w:val="24"/>
                <w:szCs w:val="24"/>
                <w:lang w:val="en-GB" w:eastAsia="en-GB" w:bidi="ar-AE"/>
              </w:rPr>
              <w:t xml:space="preserve"> </w:t>
            </w:r>
            <w:r>
              <w:rPr>
                <w:rFonts w:hint="eastAsia" w:ascii="宋体" w:hAnsi="宋体" w:eastAsia="宋体" w:cs="宋体"/>
                <w:bCs/>
                <w:color w:val="000000"/>
                <w:kern w:val="0"/>
                <w:sz w:val="24"/>
                <w:szCs w:val="24"/>
                <w:lang w:val="en-GB" w:bidi="ar-AE"/>
              </w:rPr>
              <w:t>潘红斌</w:t>
            </w:r>
          </w:p>
        </w:tc>
        <w:tc>
          <w:tcPr>
            <w:tcW w:w="6093" w:type="dxa"/>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潘红斌通过其直接或间接控制的经营者，主要从事一体化综合物流业务。</w:t>
            </w:r>
          </w:p>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潘红斌无最终控制人。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简易案件理由（可以单选，也可以多选）</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FE"/>
            </w:r>
            <w:r>
              <w:rPr>
                <w:rFonts w:hint="eastAsia" w:ascii="宋体" w:hAnsi="宋体" w:eastAsia="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备注</w:t>
            </w:r>
          </w:p>
        </w:tc>
        <w:tc>
          <w:tcPr>
            <w:tcW w:w="7700" w:type="dxa"/>
            <w:gridSpan w:val="2"/>
            <w:vAlign w:val="center"/>
          </w:tcPr>
          <w:p>
            <w:pPr>
              <w:widowControl/>
              <w:adjustRightInd w:val="0"/>
              <w:snapToGrid w:val="0"/>
              <w:rPr>
                <w:rFonts w:ascii="宋体" w:hAnsi="宋体" w:eastAsia="宋体" w:cs="宋体"/>
                <w:b/>
                <w:color w:val="000000"/>
                <w:kern w:val="0"/>
                <w:sz w:val="24"/>
                <w:szCs w:val="24"/>
                <w:lang w:val="en-GB" w:bidi="ar-AE"/>
              </w:rPr>
            </w:pPr>
            <w:r>
              <w:rPr>
                <w:rFonts w:hint="eastAsia" w:ascii="宋体" w:hAnsi="宋体" w:eastAsia="宋体" w:cs="宋体"/>
                <w:b/>
                <w:color w:val="000000"/>
                <w:kern w:val="0"/>
                <w:sz w:val="24"/>
                <w:szCs w:val="24"/>
                <w:lang w:val="en-GB" w:bidi="ar-AE"/>
              </w:rPr>
              <w:t>横向重叠：</w:t>
            </w:r>
          </w:p>
          <w:p>
            <w:pPr>
              <w:widowControl/>
              <w:adjustRightInd w:val="0"/>
              <w:snapToGrid w:val="0"/>
              <w:rPr>
                <w:rFonts w:ascii="宋体" w:hAnsi="宋体" w:eastAsia="宋体" w:cs="宋体"/>
                <w:bCs/>
                <w:color w:val="000000"/>
                <w:kern w:val="0"/>
                <w:sz w:val="24"/>
                <w:szCs w:val="24"/>
                <w:lang w:val="en-GB" w:bidi="ar-AE"/>
              </w:rPr>
            </w:pPr>
            <w:r>
              <w:rPr>
                <w:rFonts w:ascii="宋体" w:hAnsi="宋体" w:eastAsia="宋体" w:cs="宋体"/>
                <w:bCs/>
                <w:color w:val="000000"/>
                <w:kern w:val="0"/>
                <w:sz w:val="24"/>
                <w:szCs w:val="24"/>
                <w:lang w:val="en-GB" w:bidi="ar-AE"/>
              </w:rPr>
              <w:t>2021年中国境内第三方物流市场</w:t>
            </w:r>
          </w:p>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新创建</w:t>
            </w:r>
            <w:r>
              <w:rPr>
                <w:rFonts w:ascii="宋体" w:hAnsi="宋体" w:eastAsia="宋体" w:cs="宋体"/>
                <w:bCs/>
                <w:color w:val="000000"/>
                <w:kern w:val="0"/>
                <w:sz w:val="24"/>
                <w:szCs w:val="24"/>
                <w:lang w:bidi="ar-AE"/>
              </w:rPr>
              <w:t>：0-5%，</w:t>
            </w:r>
            <w:r>
              <w:rPr>
                <w:rFonts w:hint="eastAsia" w:ascii="宋体" w:hAnsi="宋体" w:eastAsia="宋体" w:cs="宋体"/>
                <w:bCs/>
                <w:color w:val="000000"/>
                <w:kern w:val="0"/>
                <w:sz w:val="24"/>
                <w:szCs w:val="24"/>
                <w:lang w:bidi="ar-AE"/>
              </w:rPr>
              <w:t>潘红斌</w:t>
            </w:r>
            <w:r>
              <w:rPr>
                <w:rFonts w:ascii="宋体" w:hAnsi="宋体" w:eastAsia="宋体" w:cs="宋体"/>
                <w:bCs/>
                <w:color w:val="000000"/>
                <w:kern w:val="0"/>
                <w:sz w:val="24"/>
                <w:szCs w:val="24"/>
                <w:lang w:bidi="ar-AE"/>
              </w:rPr>
              <w:t>: 0-5%，各方合计：0-5%</w:t>
            </w:r>
          </w:p>
        </w:tc>
      </w:tr>
    </w:tbl>
    <w:p>
      <w:pPr>
        <w:rPr>
          <w:lang w:val="en-GB"/>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等线">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Simplified Arabic">
    <w:altName w:val="Times New Roman"/>
    <w:panose1 w:val="00000000000000000000"/>
    <w:charset w:val="B2"/>
    <w:family w:val="roman"/>
    <w:pitch w:val="default"/>
    <w:sig w:usb0="00000000" w:usb1="00000000" w:usb2="00000008" w:usb3="00000000" w:csb0="0000004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2"/>
          </w:pPr>
        </w:p>
      </w:tc>
      <w:tc>
        <w:tcPr>
          <w:tcW w:w="3081" w:type="dxa"/>
        </w:tcPr>
        <w:p>
          <w:pPr>
            <w:pStyle w:val="2"/>
            <w:jc w:val="center"/>
            <w:rPr>
              <w:rStyle w:val="6"/>
              <w:rFonts w:cs="Times New Roman"/>
            </w:rPr>
          </w:pPr>
          <w:r>
            <w:rPr>
              <w:rStyle w:val="6"/>
              <w:rFonts w:cs="Times New Roman"/>
            </w:rPr>
            <w:t xml:space="preserve">- </w:t>
          </w:r>
          <w:r>
            <w:rPr>
              <w:rStyle w:val="6"/>
              <w:rFonts w:cs="Times New Roman"/>
            </w:rPr>
            <w:fldChar w:fldCharType="begin"/>
          </w:r>
          <w:r>
            <w:rPr>
              <w:rStyle w:val="6"/>
              <w:rFonts w:cs="Times New Roman"/>
            </w:rPr>
            <w:instrText xml:space="preserve"> PAGE   \* MERGEFORMAT </w:instrText>
          </w:r>
          <w:r>
            <w:rPr>
              <w:rStyle w:val="6"/>
              <w:rFonts w:cs="Times New Roman"/>
            </w:rPr>
            <w:fldChar w:fldCharType="separate"/>
          </w:r>
          <w:r>
            <w:rPr>
              <w:rStyle w:val="6"/>
              <w:rFonts w:cs="Times New Roman"/>
              <w:lang w:val="en-US"/>
            </w:rPr>
            <w:t>2</w:t>
          </w:r>
          <w:r>
            <w:rPr>
              <w:rStyle w:val="6"/>
              <w:rFonts w:cs="Times New Roman"/>
            </w:rPr>
            <w:fldChar w:fldCharType="end"/>
          </w:r>
          <w:r>
            <w:rPr>
              <w:rStyle w:val="6"/>
              <w:rFonts w:cs="Times New Roman"/>
            </w:rPr>
            <w:t xml:space="preserve"> -</w:t>
          </w:r>
        </w:p>
      </w:tc>
      <w:tc>
        <w:tcPr>
          <w:tcW w:w="3081" w:type="dxa"/>
        </w:tcPr>
        <w:p>
          <w:pPr>
            <w:pStyle w:val="9"/>
          </w:pPr>
        </w:p>
      </w:tc>
    </w:tr>
  </w:tbl>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E7F"/>
    <w:rsid w:val="000434F6"/>
    <w:rsid w:val="00047488"/>
    <w:rsid w:val="00050DEB"/>
    <w:rsid w:val="000E33D0"/>
    <w:rsid w:val="00243B0F"/>
    <w:rsid w:val="002E77ED"/>
    <w:rsid w:val="004C05E6"/>
    <w:rsid w:val="004F1DED"/>
    <w:rsid w:val="00584299"/>
    <w:rsid w:val="005936A6"/>
    <w:rsid w:val="005E3A5D"/>
    <w:rsid w:val="005F5656"/>
    <w:rsid w:val="006426FC"/>
    <w:rsid w:val="006466E2"/>
    <w:rsid w:val="006C5FAE"/>
    <w:rsid w:val="00701D6D"/>
    <w:rsid w:val="007E4CC2"/>
    <w:rsid w:val="00944681"/>
    <w:rsid w:val="00A45C65"/>
    <w:rsid w:val="00AC378F"/>
    <w:rsid w:val="00B34E7F"/>
    <w:rsid w:val="00B54638"/>
    <w:rsid w:val="00BE0278"/>
    <w:rsid w:val="00C77830"/>
    <w:rsid w:val="00D733BA"/>
    <w:rsid w:val="00DD1A2F"/>
    <w:rsid w:val="00E85D24"/>
    <w:rsid w:val="00F51C1F"/>
    <w:rsid w:val="00FA030E"/>
    <w:rsid w:val="FBDDD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qFormat/>
    <w:uiPriority w:val="0"/>
    <w:rPr>
      <w:rFonts w:ascii="Times New Roman" w:hAnsi="Times New Roman" w:eastAsia="宋体" w:cs="Simplified Arabic"/>
      <w:sz w:val="24"/>
      <w:szCs w:val="24"/>
      <w:lang w:val="en-GB" w:bidi="ar-AE"/>
    </w:r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paragraph" w:customStyle="1" w:styleId="9">
    <w:name w:val="Footer Right"/>
    <w:basedOn w:val="2"/>
    <w:qFormat/>
    <w:uiPriority w:val="0"/>
    <w:pPr>
      <w:widowControl/>
      <w:tabs>
        <w:tab w:val="clear" w:pos="4153"/>
        <w:tab w:val="clear" w:pos="8306"/>
      </w:tabs>
      <w:snapToGrid/>
      <w:jc w:val="right"/>
    </w:pPr>
    <w:rPr>
      <w:rFonts w:ascii="Times New Roman" w:hAnsi="Times New Roman" w:eastAsia="宋体" w:cs="Times New Roman"/>
      <w:kern w:val="0"/>
      <w:sz w:val="16"/>
      <w:szCs w:val="16"/>
      <w:lang w:val="en-GB" w:bidi="he-IL"/>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131</Words>
  <Characters>753</Characters>
  <Lines>6</Lines>
  <Paragraphs>1</Paragraphs>
  <TotalTime>0</TotalTime>
  <ScaleCrop>false</ScaleCrop>
  <LinksUpToDate>false</LinksUpToDate>
  <CharactersWithSpaces>883</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2023-05-06T17:19:00Z</dcterms:created>
  <dcterms:modified xsi:type="dcterms:W3CDTF">2023-05-15T10:10:30Z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DDC70F8E7557AB9F9694616406E8DCD0</vt:lpwstr>
  </property>
</Properties>
</file>