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line="240" w:lineRule="auto"/>
        <w:jc w:val="center"/>
        <w:rPr>
          <w:rFonts w:ascii="黑体" w:hAnsi="黑体" w:eastAsia="黑体" w:cs="黑体"/>
          <w:bCs/>
          <w:sz w:val="36"/>
          <w:szCs w:val="36"/>
          <w:lang w:val="en-GB" w:bidi="ar-AE"/>
        </w:rPr>
      </w:pPr>
      <w:r>
        <w:rPr>
          <w:rFonts w:ascii="黑体" w:hAnsi="黑体" w:eastAsia="黑体" w:cs="黑体"/>
          <w:bCs/>
          <w:sz w:val="36"/>
          <w:szCs w:val="36"/>
          <w:lang w:val="en-GB" w:bidi="ar-AE"/>
        </w:rPr>
        <w:t>经营者集中简易案件公示表</w:t>
      </w:r>
    </w:p>
    <w:tbl>
      <w:tblPr>
        <w:tblStyle w:val="9"/>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2079"/>
        <w:gridCol w:w="52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1526" w:type="dxa"/>
            <w:shd w:val="clear" w:color="auto" w:fill="D9D9D9"/>
            <w:vAlign w:val="center"/>
          </w:tcPr>
          <w:p>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案件名称</w:t>
            </w:r>
          </w:p>
        </w:tc>
        <w:tc>
          <w:tcPr>
            <w:tcW w:w="7371" w:type="dxa"/>
            <w:gridSpan w:val="2"/>
            <w:vAlign w:val="center"/>
          </w:tcPr>
          <w:p>
            <w:pPr>
              <w:spacing w:after="0" w:line="240" w:lineRule="auto"/>
              <w:rPr>
                <w:rFonts w:ascii="Times New Roman" w:hAnsi="Times New Roman" w:cs="Times New Roman"/>
                <w:bCs/>
                <w:sz w:val="21"/>
                <w:szCs w:val="21"/>
              </w:rPr>
            </w:pPr>
            <w:r>
              <w:rPr>
                <w:rFonts w:hint="eastAsia" w:ascii="Times New Roman" w:hAnsi="Times New Roman" w:cs="Times New Roman"/>
                <w:bCs/>
                <w:sz w:val="21"/>
                <w:szCs w:val="21"/>
              </w:rPr>
              <w:t>成都高投电子信息产业集团有限公司收购四川华鲲振宇智能科技有限责任公司股权案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7" w:hRule="atLeast"/>
        </w:trPr>
        <w:tc>
          <w:tcPr>
            <w:tcW w:w="1526" w:type="dxa"/>
            <w:shd w:val="clear" w:color="auto" w:fill="D9D9D9"/>
            <w:vAlign w:val="center"/>
          </w:tcPr>
          <w:p>
            <w:pPr>
              <w:spacing w:after="0" w:line="240" w:lineRule="auto"/>
              <w:rPr>
                <w:rFonts w:ascii="Times New Roman" w:hAnsi="Times New Roman" w:cs="Times New Roman"/>
                <w:bCs/>
                <w:sz w:val="21"/>
                <w:szCs w:val="21"/>
              </w:rPr>
            </w:pPr>
            <w:r>
              <w:rPr>
                <w:rFonts w:ascii="Times New Roman" w:hAnsi="Times New Roman" w:cs="Times New Roman"/>
                <w:bCs/>
                <w:sz w:val="21"/>
                <w:szCs w:val="21"/>
              </w:rPr>
              <w:t>交易概况（限200字内）</w:t>
            </w:r>
          </w:p>
        </w:tc>
        <w:tc>
          <w:tcPr>
            <w:tcW w:w="7371" w:type="dxa"/>
            <w:gridSpan w:val="2"/>
            <w:vAlign w:val="center"/>
          </w:tcPr>
          <w:p>
            <w:pPr>
              <w:spacing w:after="0" w:line="240" w:lineRule="auto"/>
              <w:rPr>
                <w:rFonts w:ascii="Times New Roman" w:hAnsi="Times New Roman" w:cs="Times New Roman"/>
                <w:bCs/>
                <w:sz w:val="21"/>
                <w:szCs w:val="21"/>
              </w:rPr>
            </w:pPr>
            <w:r>
              <w:rPr>
                <w:rFonts w:hint="eastAsia" w:ascii="Times New Roman" w:hAnsi="Times New Roman" w:cs="Times New Roman"/>
                <w:bCs/>
                <w:sz w:val="21"/>
                <w:szCs w:val="21"/>
              </w:rPr>
              <w:t>成都高投电子信息产业集团有限公司（“高投电子”）拟收购四川华鲲振宇智能科技有限责任公司（“华鲲振宇”）2</w:t>
            </w:r>
            <w:r>
              <w:rPr>
                <w:rFonts w:ascii="Times New Roman" w:hAnsi="Times New Roman" w:cs="Times New Roman"/>
                <w:bCs/>
                <w:sz w:val="21"/>
                <w:szCs w:val="21"/>
              </w:rPr>
              <w:t>5%</w:t>
            </w:r>
            <w:r>
              <w:rPr>
                <w:rFonts w:hint="eastAsia" w:ascii="Times New Roman" w:hAnsi="Times New Roman" w:cs="Times New Roman"/>
                <w:bCs/>
                <w:sz w:val="21"/>
                <w:szCs w:val="21"/>
              </w:rPr>
              <w:t>的股权。华鲲振宇主营业务为用户提供通用服务器、A</w:t>
            </w:r>
            <w:r>
              <w:rPr>
                <w:rFonts w:ascii="Times New Roman" w:hAnsi="Times New Roman" w:cs="Times New Roman"/>
                <w:bCs/>
                <w:sz w:val="21"/>
                <w:szCs w:val="21"/>
              </w:rPr>
              <w:t>I</w:t>
            </w:r>
            <w:r>
              <w:rPr>
                <w:rFonts w:hint="eastAsia" w:ascii="Times New Roman" w:hAnsi="Times New Roman" w:cs="Times New Roman"/>
                <w:bCs/>
                <w:sz w:val="21"/>
                <w:szCs w:val="21"/>
              </w:rPr>
              <w:t>服务器等计算存储产品及解决方案。</w:t>
            </w:r>
            <w:r>
              <w:rPr>
                <w:rFonts w:ascii="Times New Roman" w:hAnsi="Times New Roman" w:cs="Times New Roman"/>
                <w:bCs/>
                <w:sz w:val="21"/>
                <w:szCs w:val="21"/>
              </w:rPr>
              <w:t>交易后，</w:t>
            </w:r>
            <w:r>
              <w:rPr>
                <w:rFonts w:hint="eastAsia" w:ascii="Times New Roman" w:hAnsi="Times New Roman" w:cs="Times New Roman"/>
                <w:bCs/>
                <w:sz w:val="21"/>
                <w:szCs w:val="21"/>
              </w:rPr>
              <w:t>高投电子</w:t>
            </w:r>
            <w:r>
              <w:rPr>
                <w:rFonts w:ascii="Times New Roman" w:hAnsi="Times New Roman" w:cs="Times New Roman"/>
                <w:bCs/>
                <w:sz w:val="21"/>
                <w:szCs w:val="21"/>
              </w:rPr>
              <w:t>将持有</w:t>
            </w:r>
            <w:r>
              <w:rPr>
                <w:rFonts w:hint="eastAsia" w:ascii="Times New Roman" w:hAnsi="Times New Roman" w:cs="Times New Roman"/>
                <w:bCs/>
                <w:sz w:val="21"/>
                <w:szCs w:val="21"/>
              </w:rPr>
              <w:t>华鲲振宇5</w:t>
            </w:r>
            <w:r>
              <w:rPr>
                <w:rFonts w:ascii="Times New Roman" w:hAnsi="Times New Roman" w:cs="Times New Roman"/>
                <w:bCs/>
                <w:sz w:val="21"/>
                <w:szCs w:val="21"/>
              </w:rPr>
              <w:t>5%的股份，</w:t>
            </w:r>
            <w:r>
              <w:rPr>
                <w:rFonts w:hint="eastAsia" w:ascii="Times New Roman" w:hAnsi="Times New Roman" w:cs="Times New Roman"/>
                <w:bCs/>
                <w:sz w:val="21"/>
                <w:szCs w:val="21"/>
              </w:rPr>
              <w:t>单独</w:t>
            </w:r>
            <w:r>
              <w:rPr>
                <w:rFonts w:ascii="Times New Roman" w:hAnsi="Times New Roman" w:cs="Times New Roman"/>
                <w:bCs/>
                <w:sz w:val="21"/>
                <w:szCs w:val="21"/>
              </w:rPr>
              <w:t>控制</w:t>
            </w:r>
            <w:r>
              <w:rPr>
                <w:rFonts w:hint="eastAsia" w:ascii="Times New Roman" w:hAnsi="Times New Roman" w:cs="Times New Roman"/>
                <w:bCs/>
                <w:sz w:val="21"/>
                <w:szCs w:val="21"/>
              </w:rPr>
              <w:t>华鲲振宇</w:t>
            </w:r>
            <w:r>
              <w:rPr>
                <w:rFonts w:ascii="Times New Roman" w:hAnsi="Times New Roman" w:cs="Times New Roman"/>
                <w:bCs/>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trPr>
        <w:tc>
          <w:tcPr>
            <w:tcW w:w="1526" w:type="dxa"/>
            <w:vMerge w:val="restart"/>
            <w:shd w:val="clear" w:color="auto" w:fill="D9D9D9"/>
            <w:vAlign w:val="center"/>
          </w:tcPr>
          <w:p>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参与集中的经营者简介</w:t>
            </w:r>
          </w:p>
        </w:tc>
        <w:tc>
          <w:tcPr>
            <w:tcW w:w="2079" w:type="dxa"/>
            <w:vAlign w:val="center"/>
          </w:tcPr>
          <w:p>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1、</w:t>
            </w:r>
            <w:r>
              <w:rPr>
                <w:rFonts w:hint="eastAsia" w:ascii="Times New Roman" w:hAnsi="Times New Roman" w:cs="Times New Roman"/>
                <w:bCs/>
                <w:sz w:val="21"/>
                <w:szCs w:val="21"/>
              </w:rPr>
              <w:t>高投电子</w:t>
            </w:r>
          </w:p>
        </w:tc>
        <w:tc>
          <w:tcPr>
            <w:tcW w:w="5292" w:type="dxa"/>
            <w:vAlign w:val="center"/>
          </w:tcPr>
          <w:p>
            <w:pPr>
              <w:spacing w:after="0" w:line="240" w:lineRule="auto"/>
              <w:rPr>
                <w:rFonts w:ascii="Times New Roman" w:hAnsi="Times New Roman" w:cs="Times New Roman"/>
                <w:bCs/>
                <w:sz w:val="21"/>
                <w:szCs w:val="21"/>
              </w:rPr>
            </w:pPr>
            <w:r>
              <w:rPr>
                <w:rFonts w:hint="eastAsia" w:ascii="Times New Roman" w:hAnsi="Times New Roman" w:cs="Times New Roman"/>
                <w:bCs/>
                <w:sz w:val="21"/>
                <w:szCs w:val="21"/>
              </w:rPr>
              <w:t>高投电子</w:t>
            </w:r>
            <w:r>
              <w:rPr>
                <w:rFonts w:ascii="Times New Roman" w:hAnsi="Times New Roman" w:cs="Times New Roman"/>
                <w:bCs/>
                <w:sz w:val="21"/>
                <w:szCs w:val="21"/>
              </w:rPr>
              <w:t>于</w:t>
            </w:r>
            <w:r>
              <w:rPr>
                <w:rFonts w:hint="eastAsia" w:ascii="Times New Roman" w:hAnsi="Times New Roman" w:cs="Times New Roman"/>
                <w:bCs/>
                <w:sz w:val="21"/>
                <w:szCs w:val="21"/>
              </w:rPr>
              <w:t>2</w:t>
            </w:r>
            <w:r>
              <w:rPr>
                <w:rFonts w:ascii="Times New Roman" w:hAnsi="Times New Roman" w:cs="Times New Roman"/>
                <w:bCs/>
                <w:sz w:val="21"/>
                <w:szCs w:val="21"/>
              </w:rPr>
              <w:t>022年</w:t>
            </w:r>
            <w:r>
              <w:rPr>
                <w:rFonts w:hint="eastAsia" w:ascii="Times New Roman" w:hAnsi="Times New Roman" w:cs="Times New Roman"/>
                <w:bCs/>
                <w:sz w:val="21"/>
                <w:szCs w:val="21"/>
              </w:rPr>
              <w:t>3</w:t>
            </w:r>
            <w:r>
              <w:rPr>
                <w:rFonts w:ascii="Times New Roman" w:hAnsi="Times New Roman" w:cs="Times New Roman"/>
                <w:bCs/>
                <w:sz w:val="21"/>
                <w:szCs w:val="21"/>
              </w:rPr>
              <w:t>月</w:t>
            </w:r>
            <w:r>
              <w:rPr>
                <w:rFonts w:hint="eastAsia" w:ascii="Times New Roman" w:hAnsi="Times New Roman" w:cs="Times New Roman"/>
                <w:bCs/>
                <w:sz w:val="21"/>
                <w:szCs w:val="21"/>
              </w:rPr>
              <w:t>2</w:t>
            </w:r>
            <w:r>
              <w:rPr>
                <w:rFonts w:ascii="Times New Roman" w:hAnsi="Times New Roman" w:cs="Times New Roman"/>
                <w:bCs/>
                <w:sz w:val="21"/>
                <w:szCs w:val="21"/>
              </w:rPr>
              <w:t>8日成立于中国</w:t>
            </w:r>
            <w:r>
              <w:rPr>
                <w:rFonts w:hint="eastAsia" w:ascii="Times New Roman" w:hAnsi="Times New Roman" w:cs="Times New Roman"/>
                <w:bCs/>
                <w:sz w:val="21"/>
                <w:szCs w:val="21"/>
              </w:rPr>
              <w:t>四川省成都市</w:t>
            </w:r>
            <w:r>
              <w:rPr>
                <w:rFonts w:ascii="Times New Roman" w:hAnsi="Times New Roman" w:cs="Times New Roman"/>
                <w:bCs/>
                <w:sz w:val="21"/>
                <w:szCs w:val="21"/>
              </w:rPr>
              <w:t>，主要业务</w:t>
            </w:r>
            <w:r>
              <w:rPr>
                <w:rFonts w:hint="eastAsia" w:ascii="Times New Roman" w:hAnsi="Times New Roman" w:cs="Times New Roman"/>
                <w:bCs/>
                <w:sz w:val="21"/>
                <w:szCs w:val="21"/>
              </w:rPr>
              <w:t>领域</w:t>
            </w:r>
            <w:r>
              <w:rPr>
                <w:rFonts w:ascii="Times New Roman" w:hAnsi="Times New Roman" w:cs="Times New Roman"/>
                <w:bCs/>
                <w:sz w:val="21"/>
                <w:szCs w:val="21"/>
              </w:rPr>
              <w:t>为</w:t>
            </w:r>
            <w:r>
              <w:rPr>
                <w:rFonts w:hint="eastAsia" w:ascii="Times New Roman" w:hAnsi="Times New Roman" w:cs="Times New Roman"/>
                <w:bCs/>
                <w:sz w:val="21"/>
                <w:szCs w:val="21"/>
              </w:rPr>
              <w:t>产业载体及配套设施开发运营、数字城市运营、产业投资、产业服务等。高投电子的最终控制人为成都高新投资集团有限公司，其主要业务为建设开发、金融服务、产业投资、资产运营等。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526" w:type="dxa"/>
            <w:vMerge w:val="continue"/>
            <w:shd w:val="clear" w:color="auto" w:fill="D9D9D9"/>
            <w:vAlign w:val="center"/>
          </w:tcPr>
          <w:p>
            <w:pPr>
              <w:spacing w:after="0" w:line="240" w:lineRule="auto"/>
              <w:jc w:val="both"/>
              <w:rPr>
                <w:rFonts w:ascii="Times New Roman" w:hAnsi="Times New Roman" w:cs="Times New Roman"/>
                <w:bCs/>
                <w:sz w:val="21"/>
                <w:szCs w:val="21"/>
              </w:rPr>
            </w:pPr>
          </w:p>
        </w:tc>
        <w:tc>
          <w:tcPr>
            <w:tcW w:w="2079" w:type="dxa"/>
            <w:vAlign w:val="center"/>
          </w:tcPr>
          <w:p>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2、</w:t>
            </w:r>
            <w:r>
              <w:rPr>
                <w:rFonts w:hint="eastAsia" w:ascii="Times New Roman" w:hAnsi="Times New Roman" w:cs="Times New Roman"/>
                <w:bCs/>
                <w:sz w:val="21"/>
                <w:szCs w:val="21"/>
              </w:rPr>
              <w:t>华鲲振宇</w:t>
            </w:r>
          </w:p>
        </w:tc>
        <w:tc>
          <w:tcPr>
            <w:tcW w:w="5292" w:type="dxa"/>
            <w:vAlign w:val="center"/>
          </w:tcPr>
          <w:p>
            <w:pPr>
              <w:spacing w:after="0" w:line="240" w:lineRule="auto"/>
              <w:rPr>
                <w:rFonts w:ascii="Times New Roman" w:hAnsi="Times New Roman" w:cs="Times New Roman"/>
                <w:bCs/>
                <w:sz w:val="21"/>
                <w:szCs w:val="21"/>
              </w:rPr>
            </w:pPr>
            <w:r>
              <w:rPr>
                <w:rFonts w:hint="eastAsia" w:ascii="Times New Roman" w:hAnsi="Times New Roman" w:cs="Times New Roman"/>
                <w:bCs/>
                <w:sz w:val="21"/>
                <w:szCs w:val="21"/>
              </w:rPr>
              <w:t>华鲲振宇</w:t>
            </w:r>
            <w:r>
              <w:rPr>
                <w:rFonts w:ascii="Times New Roman" w:hAnsi="Times New Roman" w:cs="Times New Roman"/>
                <w:bCs/>
                <w:sz w:val="21"/>
                <w:szCs w:val="21"/>
              </w:rPr>
              <w:t>于</w:t>
            </w:r>
            <w:r>
              <w:rPr>
                <w:rFonts w:hint="eastAsia" w:ascii="Times New Roman" w:hAnsi="Times New Roman" w:cs="Times New Roman"/>
                <w:bCs/>
                <w:sz w:val="21"/>
                <w:szCs w:val="21"/>
              </w:rPr>
              <w:t>2</w:t>
            </w:r>
            <w:r>
              <w:rPr>
                <w:rFonts w:ascii="Times New Roman" w:hAnsi="Times New Roman" w:cs="Times New Roman"/>
                <w:bCs/>
                <w:sz w:val="21"/>
                <w:szCs w:val="21"/>
              </w:rPr>
              <w:t>020年</w:t>
            </w:r>
            <w:r>
              <w:rPr>
                <w:rFonts w:hint="eastAsia" w:ascii="Times New Roman" w:hAnsi="Times New Roman" w:cs="Times New Roman"/>
                <w:bCs/>
                <w:sz w:val="21"/>
                <w:szCs w:val="21"/>
              </w:rPr>
              <w:t>6</w:t>
            </w:r>
            <w:r>
              <w:rPr>
                <w:rFonts w:ascii="Times New Roman" w:hAnsi="Times New Roman" w:cs="Times New Roman"/>
                <w:bCs/>
                <w:sz w:val="21"/>
                <w:szCs w:val="21"/>
              </w:rPr>
              <w:t>月</w:t>
            </w:r>
            <w:r>
              <w:rPr>
                <w:rFonts w:hint="eastAsia" w:ascii="Times New Roman" w:hAnsi="Times New Roman" w:cs="Times New Roman"/>
                <w:bCs/>
                <w:sz w:val="21"/>
                <w:szCs w:val="21"/>
              </w:rPr>
              <w:t>1</w:t>
            </w:r>
            <w:r>
              <w:rPr>
                <w:rFonts w:ascii="Times New Roman" w:hAnsi="Times New Roman" w:cs="Times New Roman"/>
                <w:bCs/>
                <w:sz w:val="21"/>
                <w:szCs w:val="21"/>
              </w:rPr>
              <w:t>8日成立于中国</w:t>
            </w:r>
            <w:r>
              <w:rPr>
                <w:rFonts w:hint="eastAsia" w:ascii="Times New Roman" w:hAnsi="Times New Roman" w:cs="Times New Roman"/>
                <w:bCs/>
                <w:sz w:val="21"/>
                <w:szCs w:val="21"/>
              </w:rPr>
              <w:t>四川省成都市</w:t>
            </w:r>
            <w:r>
              <w:rPr>
                <w:rFonts w:ascii="Times New Roman" w:hAnsi="Times New Roman" w:cs="Times New Roman"/>
                <w:bCs/>
                <w:sz w:val="21"/>
                <w:szCs w:val="21"/>
              </w:rPr>
              <w:t>，</w:t>
            </w:r>
            <w:r>
              <w:rPr>
                <w:rFonts w:hint="eastAsia" w:ascii="Times New Roman" w:hAnsi="Times New Roman" w:cs="Times New Roman"/>
                <w:bCs/>
                <w:sz w:val="21"/>
                <w:szCs w:val="21"/>
              </w:rPr>
              <w:t>主要业务为“鲲鹏+昇腾”处理器的自主品牌计算、存储等系列产品的设计、研发、生产、销售及服务。华鲲振宇的最终控制人为成都高新投资集团有限公司和四川长虹电子控股集团有限公司，成都高新投资集团有限公司主要业务为建设开发、金融服务、产业投资、资产运营等；四川长虹电子控股集团有限公司的主营业务为智能家电、核心部件、I</w:t>
            </w:r>
            <w:r>
              <w:rPr>
                <w:rFonts w:ascii="Times New Roman" w:hAnsi="Times New Roman" w:cs="Times New Roman"/>
                <w:bCs/>
                <w:sz w:val="21"/>
                <w:szCs w:val="21"/>
              </w:rPr>
              <w:t>CT</w:t>
            </w:r>
            <w:r>
              <w:rPr>
                <w:rFonts w:hint="eastAsia" w:ascii="Times New Roman" w:hAnsi="Times New Roman" w:cs="Times New Roman"/>
                <w:bCs/>
                <w:sz w:val="21"/>
                <w:szCs w:val="21"/>
              </w:rPr>
              <w:t>服务等产业。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526" w:type="dxa"/>
            <w:vMerge w:val="restart"/>
            <w:shd w:val="clear" w:color="auto" w:fill="D9D9D9"/>
            <w:vAlign w:val="center"/>
          </w:tcPr>
          <w:p>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简易案件理由（可以单选，也可以多选）</w:t>
            </w:r>
          </w:p>
        </w:tc>
        <w:tc>
          <w:tcPr>
            <w:tcW w:w="7371" w:type="dxa"/>
            <w:gridSpan w:val="2"/>
            <w:vAlign w:val="center"/>
          </w:tcPr>
          <w:p>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sym w:font="Wingdings" w:char="F0A8"/>
            </w:r>
            <w:r>
              <w:rPr>
                <w:rFonts w:ascii="Times New Roman" w:hAnsi="Times New Roman" w:cs="Times New Roman"/>
                <w:bCs/>
                <w:sz w:val="21"/>
                <w:szCs w:val="21"/>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526" w:type="dxa"/>
            <w:vMerge w:val="continue"/>
            <w:shd w:val="clear" w:color="auto" w:fill="D9D9D9"/>
            <w:vAlign w:val="center"/>
          </w:tcPr>
          <w:p>
            <w:pPr>
              <w:spacing w:after="0" w:line="240" w:lineRule="auto"/>
              <w:jc w:val="both"/>
              <w:rPr>
                <w:rFonts w:ascii="Times New Roman" w:hAnsi="Times New Roman" w:cs="Times New Roman"/>
                <w:bCs/>
                <w:sz w:val="21"/>
                <w:szCs w:val="21"/>
              </w:rPr>
            </w:pPr>
          </w:p>
        </w:tc>
        <w:tc>
          <w:tcPr>
            <w:tcW w:w="7371" w:type="dxa"/>
            <w:gridSpan w:val="2"/>
            <w:vAlign w:val="center"/>
          </w:tcPr>
          <w:p>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sym w:font="Wingdings" w:char="F0A8"/>
            </w:r>
            <w:r>
              <w:rPr>
                <w:rFonts w:ascii="Times New Roman" w:hAnsi="Times New Roman" w:cs="Times New Roman"/>
                <w:bCs/>
                <w:sz w:val="21"/>
                <w:szCs w:val="21"/>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6" w:type="dxa"/>
            <w:vMerge w:val="continue"/>
            <w:shd w:val="clear" w:color="auto" w:fill="D9D9D9"/>
            <w:vAlign w:val="center"/>
          </w:tcPr>
          <w:p>
            <w:pPr>
              <w:spacing w:after="0" w:line="240" w:lineRule="auto"/>
              <w:jc w:val="both"/>
              <w:rPr>
                <w:rFonts w:ascii="Times New Roman" w:hAnsi="Times New Roman" w:cs="Times New Roman"/>
                <w:bCs/>
                <w:sz w:val="21"/>
                <w:szCs w:val="21"/>
              </w:rPr>
            </w:pPr>
          </w:p>
        </w:tc>
        <w:tc>
          <w:tcPr>
            <w:tcW w:w="7371" w:type="dxa"/>
            <w:gridSpan w:val="2"/>
            <w:vAlign w:val="center"/>
          </w:tcPr>
          <w:p>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sym w:font="Wingdings" w:char="F0FE"/>
            </w:r>
            <w:r>
              <w:rPr>
                <w:rFonts w:ascii="Times New Roman" w:hAnsi="Times New Roman" w:cs="Times New Roman"/>
                <w:bCs/>
                <w:sz w:val="21"/>
                <w:szCs w:val="21"/>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526" w:type="dxa"/>
            <w:vMerge w:val="continue"/>
            <w:shd w:val="clear" w:color="auto" w:fill="D9D9D9"/>
            <w:vAlign w:val="center"/>
          </w:tcPr>
          <w:p>
            <w:pPr>
              <w:spacing w:after="0" w:line="240" w:lineRule="auto"/>
              <w:jc w:val="both"/>
              <w:rPr>
                <w:rFonts w:ascii="Times New Roman" w:hAnsi="Times New Roman" w:cs="Times New Roman"/>
                <w:bCs/>
                <w:sz w:val="21"/>
                <w:szCs w:val="21"/>
              </w:rPr>
            </w:pPr>
          </w:p>
        </w:tc>
        <w:tc>
          <w:tcPr>
            <w:tcW w:w="7371" w:type="dxa"/>
            <w:gridSpan w:val="2"/>
            <w:vAlign w:val="center"/>
          </w:tcPr>
          <w:p>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sym w:font="Wingdings" w:char="F0A8"/>
            </w:r>
            <w:r>
              <w:rPr>
                <w:rFonts w:ascii="Times New Roman" w:hAnsi="Times New Roman" w:cs="Times New Roman"/>
                <w:bCs/>
                <w:sz w:val="21"/>
                <w:szCs w:val="21"/>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526" w:type="dxa"/>
            <w:vMerge w:val="continue"/>
            <w:shd w:val="clear" w:color="auto" w:fill="D9D9D9"/>
            <w:vAlign w:val="center"/>
          </w:tcPr>
          <w:p>
            <w:pPr>
              <w:spacing w:after="0" w:line="240" w:lineRule="auto"/>
              <w:jc w:val="both"/>
              <w:rPr>
                <w:rFonts w:ascii="Times New Roman" w:hAnsi="Times New Roman" w:cs="Times New Roman"/>
                <w:bCs/>
                <w:sz w:val="21"/>
                <w:szCs w:val="21"/>
              </w:rPr>
            </w:pPr>
          </w:p>
        </w:tc>
        <w:tc>
          <w:tcPr>
            <w:tcW w:w="7371" w:type="dxa"/>
            <w:gridSpan w:val="2"/>
            <w:vAlign w:val="center"/>
          </w:tcPr>
          <w:p>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sym w:font="Wingdings" w:char="F0A8"/>
            </w:r>
            <w:r>
              <w:rPr>
                <w:rFonts w:ascii="Times New Roman" w:hAnsi="Times New Roman" w:cs="Times New Roman"/>
                <w:bCs/>
                <w:sz w:val="21"/>
                <w:szCs w:val="21"/>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526" w:type="dxa"/>
            <w:vMerge w:val="continue"/>
            <w:shd w:val="clear" w:color="auto" w:fill="D9D9D9"/>
            <w:vAlign w:val="center"/>
          </w:tcPr>
          <w:p>
            <w:pPr>
              <w:spacing w:after="0" w:line="240" w:lineRule="auto"/>
              <w:jc w:val="both"/>
              <w:rPr>
                <w:rFonts w:ascii="Times New Roman" w:hAnsi="Times New Roman" w:cs="Times New Roman"/>
                <w:bCs/>
                <w:sz w:val="21"/>
                <w:szCs w:val="21"/>
              </w:rPr>
            </w:pPr>
          </w:p>
        </w:tc>
        <w:tc>
          <w:tcPr>
            <w:tcW w:w="7371" w:type="dxa"/>
            <w:gridSpan w:val="2"/>
            <w:vAlign w:val="center"/>
          </w:tcPr>
          <w:p>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sym w:font="Wingdings" w:char="F0A8"/>
            </w:r>
            <w:r>
              <w:rPr>
                <w:rFonts w:ascii="Times New Roman" w:hAnsi="Times New Roman" w:cs="Times New Roman"/>
                <w:bCs/>
                <w:sz w:val="21"/>
                <w:szCs w:val="21"/>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1" w:hRule="atLeast"/>
        </w:trPr>
        <w:tc>
          <w:tcPr>
            <w:tcW w:w="1526" w:type="dxa"/>
            <w:shd w:val="clear" w:color="auto" w:fill="D9D9D9"/>
            <w:vAlign w:val="center"/>
          </w:tcPr>
          <w:p>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备注</w:t>
            </w:r>
          </w:p>
        </w:tc>
        <w:tc>
          <w:tcPr>
            <w:tcW w:w="7371" w:type="dxa"/>
            <w:gridSpan w:val="2"/>
            <w:vAlign w:val="center"/>
          </w:tcPr>
          <w:p>
            <w:pPr>
              <w:spacing w:after="0" w:line="240" w:lineRule="auto"/>
              <w:rPr>
                <w:rFonts w:ascii="Times New Roman" w:hAnsi="Times New Roman" w:cs="Times New Roman"/>
                <w:b/>
                <w:sz w:val="21"/>
                <w:szCs w:val="21"/>
              </w:rPr>
            </w:pPr>
            <w:r>
              <w:rPr>
                <w:rFonts w:ascii="Times New Roman" w:hAnsi="Times New Roman" w:cs="Times New Roman"/>
                <w:b/>
                <w:sz w:val="21"/>
                <w:szCs w:val="21"/>
              </w:rPr>
              <w:t>混合</w:t>
            </w:r>
            <w:r>
              <w:rPr>
                <w:rFonts w:hint="eastAsia" w:ascii="Times New Roman" w:hAnsi="Times New Roman" w:cs="Times New Roman"/>
                <w:b/>
                <w:sz w:val="21"/>
                <w:szCs w:val="21"/>
              </w:rPr>
              <w:t>集中</w:t>
            </w:r>
            <w:r>
              <w:rPr>
                <w:rFonts w:ascii="Times New Roman" w:hAnsi="Times New Roman" w:cs="Times New Roman"/>
                <w:b/>
                <w:sz w:val="21"/>
                <w:szCs w:val="21"/>
              </w:rPr>
              <w:t>：</w:t>
            </w:r>
            <w:bookmarkStart w:id="0" w:name="_GoBack"/>
            <w:bookmarkEnd w:id="0"/>
          </w:p>
          <w:p>
            <w:pPr>
              <w:spacing w:after="0" w:line="240" w:lineRule="auto"/>
              <w:rPr>
                <w:rFonts w:ascii="Times New Roman" w:hAnsi="Times New Roman" w:cs="Times New Roman"/>
                <w:bCs/>
                <w:sz w:val="21"/>
                <w:szCs w:val="21"/>
              </w:rPr>
            </w:pPr>
            <w:r>
              <w:rPr>
                <w:rFonts w:ascii="Times New Roman" w:hAnsi="Times New Roman" w:cs="Times New Roman"/>
                <w:bCs/>
                <w:sz w:val="21"/>
                <w:szCs w:val="21"/>
              </w:rPr>
              <w:t>2022年中国境内</w:t>
            </w:r>
            <w:r>
              <w:rPr>
                <w:rFonts w:hint="eastAsia" w:ascii="Times New Roman" w:hAnsi="Times New Roman" w:cs="Times New Roman"/>
                <w:bCs/>
                <w:sz w:val="21"/>
                <w:szCs w:val="21"/>
              </w:rPr>
              <w:t>服务器</w:t>
            </w:r>
            <w:r>
              <w:rPr>
                <w:rFonts w:ascii="Times New Roman" w:hAnsi="Times New Roman" w:cs="Times New Roman"/>
                <w:bCs/>
                <w:sz w:val="21"/>
                <w:szCs w:val="21"/>
              </w:rPr>
              <w:t>市场</w:t>
            </w:r>
          </w:p>
          <w:p>
            <w:pPr>
              <w:spacing w:after="0" w:line="240" w:lineRule="auto"/>
              <w:rPr>
                <w:rFonts w:ascii="Times New Roman" w:hAnsi="Times New Roman" w:cs="Times New Roman"/>
                <w:bCs/>
                <w:sz w:val="21"/>
                <w:szCs w:val="21"/>
              </w:rPr>
            </w:pPr>
            <w:r>
              <w:rPr>
                <w:rFonts w:hint="eastAsia" w:ascii="Times New Roman" w:hAnsi="Times New Roman" w:cs="Times New Roman"/>
                <w:bCs/>
                <w:sz w:val="21"/>
                <w:szCs w:val="21"/>
              </w:rPr>
              <w:t>华鲲振宇：</w:t>
            </w:r>
            <w:r>
              <w:rPr>
                <w:rFonts w:ascii="Times New Roman" w:hAnsi="Times New Roman" w:cs="Times New Roman"/>
                <w:bCs/>
                <w:sz w:val="21"/>
                <w:szCs w:val="21"/>
              </w:rPr>
              <w:t>0-5%</w:t>
            </w:r>
          </w:p>
        </w:tc>
      </w:tr>
    </w:tbl>
    <w:p>
      <w:pPr>
        <w:spacing w:after="0" w:line="240" w:lineRule="auto"/>
        <w:rPr>
          <w:rFonts w:ascii="Times New Roman" w:hAnsi="Times New Roman" w:eastAsia="仿宋_GB2312" w:cs="Times New Roman"/>
          <w:sz w:val="24"/>
          <w:szCs w:val="24"/>
        </w:rPr>
      </w:pPr>
    </w:p>
    <w:sectPr>
      <w:pgSz w:w="12240" w:h="15840"/>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Simplified Arabic">
    <w:altName w:val="Times New Roman"/>
    <w:panose1 w:val="00000000000000000000"/>
    <w:charset w:val="B2"/>
    <w:family w:val="roman"/>
    <w:pitch w:val="default"/>
    <w:sig w:usb0="00000000" w:usb1="00000000" w:usb2="00000008" w:usb3="00000000" w:csb0="0000004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true"/>
  <w:bordersDoNotSurroundHeader w:val="true"/>
  <w:bordersDoNotSurroundFooter w:val="true"/>
  <w:documentProtection w:enforcement="0"/>
  <w:defaultTabStop w:val="720"/>
  <w:characterSpacingControl w:val="doNotCompress"/>
  <w:footnotePr>
    <w:footnote w:id="0"/>
    <w:footnote w:id="1"/>
  </w:footnotePr>
  <w:endnotePr>
    <w:endnote w:id="0"/>
    <w:endnote w:id="1"/>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06F"/>
    <w:rsid w:val="00006662"/>
    <w:rsid w:val="00015FDA"/>
    <w:rsid w:val="0002711F"/>
    <w:rsid w:val="000357CC"/>
    <w:rsid w:val="000418E3"/>
    <w:rsid w:val="00041E1F"/>
    <w:rsid w:val="000452B9"/>
    <w:rsid w:val="00050FAE"/>
    <w:rsid w:val="00064C29"/>
    <w:rsid w:val="00066183"/>
    <w:rsid w:val="000661E9"/>
    <w:rsid w:val="00074058"/>
    <w:rsid w:val="0007444C"/>
    <w:rsid w:val="00080E60"/>
    <w:rsid w:val="00080FB4"/>
    <w:rsid w:val="000839F2"/>
    <w:rsid w:val="00083B42"/>
    <w:rsid w:val="000860A2"/>
    <w:rsid w:val="000860C5"/>
    <w:rsid w:val="0008695F"/>
    <w:rsid w:val="00096045"/>
    <w:rsid w:val="000A36B1"/>
    <w:rsid w:val="000B5FBA"/>
    <w:rsid w:val="000C18E5"/>
    <w:rsid w:val="000C6E3F"/>
    <w:rsid w:val="000D33F9"/>
    <w:rsid w:val="000E2884"/>
    <w:rsid w:val="000F42BF"/>
    <w:rsid w:val="000F4CEA"/>
    <w:rsid w:val="000F64E5"/>
    <w:rsid w:val="000F6C3B"/>
    <w:rsid w:val="00107898"/>
    <w:rsid w:val="00113737"/>
    <w:rsid w:val="00117612"/>
    <w:rsid w:val="001220B6"/>
    <w:rsid w:val="001268FF"/>
    <w:rsid w:val="00131B11"/>
    <w:rsid w:val="00135D3E"/>
    <w:rsid w:val="00141EA0"/>
    <w:rsid w:val="00142266"/>
    <w:rsid w:val="00143C45"/>
    <w:rsid w:val="00145D52"/>
    <w:rsid w:val="001560DC"/>
    <w:rsid w:val="00161B23"/>
    <w:rsid w:val="001658BD"/>
    <w:rsid w:val="00167C91"/>
    <w:rsid w:val="00170258"/>
    <w:rsid w:val="00175369"/>
    <w:rsid w:val="00182C34"/>
    <w:rsid w:val="00184940"/>
    <w:rsid w:val="00185CBE"/>
    <w:rsid w:val="001928E2"/>
    <w:rsid w:val="00197BCC"/>
    <w:rsid w:val="001A5D63"/>
    <w:rsid w:val="001A6E1C"/>
    <w:rsid w:val="001A7DC5"/>
    <w:rsid w:val="001B4797"/>
    <w:rsid w:val="001B5A55"/>
    <w:rsid w:val="001C30D0"/>
    <w:rsid w:val="001C4633"/>
    <w:rsid w:val="001C7EBC"/>
    <w:rsid w:val="001D19DE"/>
    <w:rsid w:val="001D4D74"/>
    <w:rsid w:val="001D6FE1"/>
    <w:rsid w:val="001F1799"/>
    <w:rsid w:val="001F3AA8"/>
    <w:rsid w:val="001F666B"/>
    <w:rsid w:val="001F6B6E"/>
    <w:rsid w:val="00204A4A"/>
    <w:rsid w:val="002056BF"/>
    <w:rsid w:val="0020610A"/>
    <w:rsid w:val="00206D78"/>
    <w:rsid w:val="00210221"/>
    <w:rsid w:val="00210928"/>
    <w:rsid w:val="00212685"/>
    <w:rsid w:val="002235EE"/>
    <w:rsid w:val="00224D2A"/>
    <w:rsid w:val="00226771"/>
    <w:rsid w:val="00233AFE"/>
    <w:rsid w:val="00233CA3"/>
    <w:rsid w:val="00235728"/>
    <w:rsid w:val="00240D9B"/>
    <w:rsid w:val="00253172"/>
    <w:rsid w:val="0025479B"/>
    <w:rsid w:val="00256987"/>
    <w:rsid w:val="00257D9B"/>
    <w:rsid w:val="0026037B"/>
    <w:rsid w:val="002617F7"/>
    <w:rsid w:val="00262B82"/>
    <w:rsid w:val="00266E4A"/>
    <w:rsid w:val="002677D8"/>
    <w:rsid w:val="002707F1"/>
    <w:rsid w:val="0028095C"/>
    <w:rsid w:val="00291070"/>
    <w:rsid w:val="00292250"/>
    <w:rsid w:val="0029473B"/>
    <w:rsid w:val="00296730"/>
    <w:rsid w:val="002A27F3"/>
    <w:rsid w:val="002A2EBE"/>
    <w:rsid w:val="002A3188"/>
    <w:rsid w:val="002B0DA9"/>
    <w:rsid w:val="002B3632"/>
    <w:rsid w:val="002B3660"/>
    <w:rsid w:val="002B41C8"/>
    <w:rsid w:val="002B67B5"/>
    <w:rsid w:val="002D1108"/>
    <w:rsid w:val="002D1828"/>
    <w:rsid w:val="002D5A03"/>
    <w:rsid w:val="002D5CB2"/>
    <w:rsid w:val="002E08E3"/>
    <w:rsid w:val="002E17F6"/>
    <w:rsid w:val="002E45BD"/>
    <w:rsid w:val="002E4B71"/>
    <w:rsid w:val="002F40F4"/>
    <w:rsid w:val="002F561B"/>
    <w:rsid w:val="002F6C94"/>
    <w:rsid w:val="00301F10"/>
    <w:rsid w:val="0031248E"/>
    <w:rsid w:val="00322EC0"/>
    <w:rsid w:val="00334FE7"/>
    <w:rsid w:val="00343E7B"/>
    <w:rsid w:val="00370FB1"/>
    <w:rsid w:val="00371A30"/>
    <w:rsid w:val="00372313"/>
    <w:rsid w:val="0037245C"/>
    <w:rsid w:val="003731BC"/>
    <w:rsid w:val="003746A2"/>
    <w:rsid w:val="00375C89"/>
    <w:rsid w:val="003769D3"/>
    <w:rsid w:val="0038079F"/>
    <w:rsid w:val="0038165D"/>
    <w:rsid w:val="003843CD"/>
    <w:rsid w:val="00392C5E"/>
    <w:rsid w:val="003946CF"/>
    <w:rsid w:val="00396BF2"/>
    <w:rsid w:val="003975F9"/>
    <w:rsid w:val="003A5B71"/>
    <w:rsid w:val="003A6622"/>
    <w:rsid w:val="003A75F7"/>
    <w:rsid w:val="003B450D"/>
    <w:rsid w:val="003C4608"/>
    <w:rsid w:val="003E31B4"/>
    <w:rsid w:val="003E5AE8"/>
    <w:rsid w:val="003F7EB8"/>
    <w:rsid w:val="00402E3E"/>
    <w:rsid w:val="00404933"/>
    <w:rsid w:val="00406799"/>
    <w:rsid w:val="00416A28"/>
    <w:rsid w:val="004229F7"/>
    <w:rsid w:val="00431CEF"/>
    <w:rsid w:val="004413CC"/>
    <w:rsid w:val="004430E8"/>
    <w:rsid w:val="00453600"/>
    <w:rsid w:val="004566B7"/>
    <w:rsid w:val="00457B46"/>
    <w:rsid w:val="00466FA2"/>
    <w:rsid w:val="0047142D"/>
    <w:rsid w:val="004739F7"/>
    <w:rsid w:val="00483897"/>
    <w:rsid w:val="004860C9"/>
    <w:rsid w:val="00487314"/>
    <w:rsid w:val="00494222"/>
    <w:rsid w:val="00495706"/>
    <w:rsid w:val="004A19E0"/>
    <w:rsid w:val="004A1C47"/>
    <w:rsid w:val="004A40CA"/>
    <w:rsid w:val="004A445C"/>
    <w:rsid w:val="004B1972"/>
    <w:rsid w:val="004C25E2"/>
    <w:rsid w:val="004C6926"/>
    <w:rsid w:val="004E07A6"/>
    <w:rsid w:val="004E4D26"/>
    <w:rsid w:val="00501302"/>
    <w:rsid w:val="00510CEE"/>
    <w:rsid w:val="005152DE"/>
    <w:rsid w:val="00516E41"/>
    <w:rsid w:val="005224B2"/>
    <w:rsid w:val="00525229"/>
    <w:rsid w:val="00532DF1"/>
    <w:rsid w:val="005341B8"/>
    <w:rsid w:val="00537F61"/>
    <w:rsid w:val="00554851"/>
    <w:rsid w:val="00557B9A"/>
    <w:rsid w:val="00567BCF"/>
    <w:rsid w:val="00570552"/>
    <w:rsid w:val="00571456"/>
    <w:rsid w:val="0058102F"/>
    <w:rsid w:val="005962E7"/>
    <w:rsid w:val="00597385"/>
    <w:rsid w:val="005A1B48"/>
    <w:rsid w:val="005A6702"/>
    <w:rsid w:val="005A72E3"/>
    <w:rsid w:val="005A7391"/>
    <w:rsid w:val="005B02C3"/>
    <w:rsid w:val="005B6BF8"/>
    <w:rsid w:val="005B7778"/>
    <w:rsid w:val="005C7256"/>
    <w:rsid w:val="005D2AFD"/>
    <w:rsid w:val="005D392E"/>
    <w:rsid w:val="005D7E18"/>
    <w:rsid w:val="005D7F24"/>
    <w:rsid w:val="005E03FF"/>
    <w:rsid w:val="005E20D1"/>
    <w:rsid w:val="005E419D"/>
    <w:rsid w:val="005E4BCB"/>
    <w:rsid w:val="006034A0"/>
    <w:rsid w:val="006049F9"/>
    <w:rsid w:val="0061144C"/>
    <w:rsid w:val="00612EA5"/>
    <w:rsid w:val="00636D71"/>
    <w:rsid w:val="00640A81"/>
    <w:rsid w:val="006524AA"/>
    <w:rsid w:val="006525A4"/>
    <w:rsid w:val="006539B6"/>
    <w:rsid w:val="00653F80"/>
    <w:rsid w:val="006559AF"/>
    <w:rsid w:val="006660F4"/>
    <w:rsid w:val="0067616D"/>
    <w:rsid w:val="00682EA0"/>
    <w:rsid w:val="00685F9F"/>
    <w:rsid w:val="006932FE"/>
    <w:rsid w:val="0069400F"/>
    <w:rsid w:val="00694964"/>
    <w:rsid w:val="00694F79"/>
    <w:rsid w:val="00696930"/>
    <w:rsid w:val="00697BE8"/>
    <w:rsid w:val="006B115A"/>
    <w:rsid w:val="006B3173"/>
    <w:rsid w:val="006B4355"/>
    <w:rsid w:val="006B783A"/>
    <w:rsid w:val="006C07EE"/>
    <w:rsid w:val="006D6A1D"/>
    <w:rsid w:val="006E113F"/>
    <w:rsid w:val="006E3550"/>
    <w:rsid w:val="006E4C31"/>
    <w:rsid w:val="006F0341"/>
    <w:rsid w:val="006F7CBA"/>
    <w:rsid w:val="00700B2B"/>
    <w:rsid w:val="007063A5"/>
    <w:rsid w:val="00711B6D"/>
    <w:rsid w:val="00717C92"/>
    <w:rsid w:val="00720EC6"/>
    <w:rsid w:val="00721D2F"/>
    <w:rsid w:val="007245BA"/>
    <w:rsid w:val="00736C08"/>
    <w:rsid w:val="007401C7"/>
    <w:rsid w:val="0074793D"/>
    <w:rsid w:val="00751BAC"/>
    <w:rsid w:val="00754743"/>
    <w:rsid w:val="00764539"/>
    <w:rsid w:val="007663D6"/>
    <w:rsid w:val="00766D97"/>
    <w:rsid w:val="00770359"/>
    <w:rsid w:val="0077295A"/>
    <w:rsid w:val="00783D4E"/>
    <w:rsid w:val="007924D0"/>
    <w:rsid w:val="00792E51"/>
    <w:rsid w:val="007A167A"/>
    <w:rsid w:val="007A7420"/>
    <w:rsid w:val="007B09A5"/>
    <w:rsid w:val="007C3328"/>
    <w:rsid w:val="007C57AE"/>
    <w:rsid w:val="007C61EA"/>
    <w:rsid w:val="007D3E1B"/>
    <w:rsid w:val="007D75F4"/>
    <w:rsid w:val="007E263B"/>
    <w:rsid w:val="007E2E3C"/>
    <w:rsid w:val="007E3EF4"/>
    <w:rsid w:val="007E737C"/>
    <w:rsid w:val="007F19D8"/>
    <w:rsid w:val="007F3D5C"/>
    <w:rsid w:val="00807E62"/>
    <w:rsid w:val="008144B9"/>
    <w:rsid w:val="00815CF8"/>
    <w:rsid w:val="0082591A"/>
    <w:rsid w:val="00826312"/>
    <w:rsid w:val="00832324"/>
    <w:rsid w:val="00851C0B"/>
    <w:rsid w:val="00853CD4"/>
    <w:rsid w:val="008634A4"/>
    <w:rsid w:val="008749D4"/>
    <w:rsid w:val="00877B74"/>
    <w:rsid w:val="00880468"/>
    <w:rsid w:val="00883F93"/>
    <w:rsid w:val="00894358"/>
    <w:rsid w:val="00894A01"/>
    <w:rsid w:val="00895751"/>
    <w:rsid w:val="00895B87"/>
    <w:rsid w:val="008A59A5"/>
    <w:rsid w:val="008A764D"/>
    <w:rsid w:val="008B0DF6"/>
    <w:rsid w:val="008B299D"/>
    <w:rsid w:val="008B4A2D"/>
    <w:rsid w:val="008C04D3"/>
    <w:rsid w:val="008C4425"/>
    <w:rsid w:val="008C4DF1"/>
    <w:rsid w:val="008C6763"/>
    <w:rsid w:val="008C728E"/>
    <w:rsid w:val="008D144E"/>
    <w:rsid w:val="008D17B9"/>
    <w:rsid w:val="008E0EE7"/>
    <w:rsid w:val="008E494F"/>
    <w:rsid w:val="009115F0"/>
    <w:rsid w:val="00911CB5"/>
    <w:rsid w:val="009249E9"/>
    <w:rsid w:val="00924BDF"/>
    <w:rsid w:val="00930E2A"/>
    <w:rsid w:val="0093164E"/>
    <w:rsid w:val="009351B5"/>
    <w:rsid w:val="009421C1"/>
    <w:rsid w:val="0094377C"/>
    <w:rsid w:val="00944117"/>
    <w:rsid w:val="00945C50"/>
    <w:rsid w:val="00950B17"/>
    <w:rsid w:val="00951A87"/>
    <w:rsid w:val="00961599"/>
    <w:rsid w:val="00972628"/>
    <w:rsid w:val="00972A08"/>
    <w:rsid w:val="00973BF3"/>
    <w:rsid w:val="0097449E"/>
    <w:rsid w:val="00976A3C"/>
    <w:rsid w:val="00983F47"/>
    <w:rsid w:val="00984070"/>
    <w:rsid w:val="0098608A"/>
    <w:rsid w:val="009870A6"/>
    <w:rsid w:val="009912E2"/>
    <w:rsid w:val="00997D25"/>
    <w:rsid w:val="009A3096"/>
    <w:rsid w:val="009B228B"/>
    <w:rsid w:val="009B22A4"/>
    <w:rsid w:val="009B31FE"/>
    <w:rsid w:val="009B4F19"/>
    <w:rsid w:val="009B6540"/>
    <w:rsid w:val="009C11D1"/>
    <w:rsid w:val="009C2A3E"/>
    <w:rsid w:val="009C2D01"/>
    <w:rsid w:val="009C79E8"/>
    <w:rsid w:val="009D177A"/>
    <w:rsid w:val="009D17A9"/>
    <w:rsid w:val="009D5554"/>
    <w:rsid w:val="009E24A3"/>
    <w:rsid w:val="009E5B6F"/>
    <w:rsid w:val="009F0EF1"/>
    <w:rsid w:val="009F465F"/>
    <w:rsid w:val="00A00264"/>
    <w:rsid w:val="00A0166A"/>
    <w:rsid w:val="00A056CC"/>
    <w:rsid w:val="00A0579E"/>
    <w:rsid w:val="00A168A2"/>
    <w:rsid w:val="00A2588F"/>
    <w:rsid w:val="00A30282"/>
    <w:rsid w:val="00A34ADE"/>
    <w:rsid w:val="00A3748A"/>
    <w:rsid w:val="00A5306F"/>
    <w:rsid w:val="00A53872"/>
    <w:rsid w:val="00A63785"/>
    <w:rsid w:val="00A67952"/>
    <w:rsid w:val="00A93150"/>
    <w:rsid w:val="00A93A0F"/>
    <w:rsid w:val="00A93A1E"/>
    <w:rsid w:val="00AA054C"/>
    <w:rsid w:val="00AA1DF0"/>
    <w:rsid w:val="00AA2F59"/>
    <w:rsid w:val="00AA39DE"/>
    <w:rsid w:val="00AA40B9"/>
    <w:rsid w:val="00AA4535"/>
    <w:rsid w:val="00AA67D2"/>
    <w:rsid w:val="00AA74DE"/>
    <w:rsid w:val="00AA7A19"/>
    <w:rsid w:val="00AB1EA5"/>
    <w:rsid w:val="00AB2BFC"/>
    <w:rsid w:val="00AC7F7E"/>
    <w:rsid w:val="00AD1C2B"/>
    <w:rsid w:val="00AD34DC"/>
    <w:rsid w:val="00AD49A1"/>
    <w:rsid w:val="00AD52B4"/>
    <w:rsid w:val="00AE085C"/>
    <w:rsid w:val="00AE5A62"/>
    <w:rsid w:val="00AF0CA2"/>
    <w:rsid w:val="00AF3A86"/>
    <w:rsid w:val="00B013B6"/>
    <w:rsid w:val="00B06C1D"/>
    <w:rsid w:val="00B076CD"/>
    <w:rsid w:val="00B27C4B"/>
    <w:rsid w:val="00B30A87"/>
    <w:rsid w:val="00B32E02"/>
    <w:rsid w:val="00B345BC"/>
    <w:rsid w:val="00B35E4E"/>
    <w:rsid w:val="00B41F07"/>
    <w:rsid w:val="00B4555C"/>
    <w:rsid w:val="00B57785"/>
    <w:rsid w:val="00B63ADA"/>
    <w:rsid w:val="00B65B00"/>
    <w:rsid w:val="00B731FC"/>
    <w:rsid w:val="00B73A2C"/>
    <w:rsid w:val="00B76F96"/>
    <w:rsid w:val="00B81CDA"/>
    <w:rsid w:val="00B83CD0"/>
    <w:rsid w:val="00B9434A"/>
    <w:rsid w:val="00B97810"/>
    <w:rsid w:val="00B97A2B"/>
    <w:rsid w:val="00BB5D5F"/>
    <w:rsid w:val="00BB7E5B"/>
    <w:rsid w:val="00BC0D10"/>
    <w:rsid w:val="00BC6D77"/>
    <w:rsid w:val="00BC71CF"/>
    <w:rsid w:val="00BD17F8"/>
    <w:rsid w:val="00BD22E6"/>
    <w:rsid w:val="00BE466D"/>
    <w:rsid w:val="00BE6EC5"/>
    <w:rsid w:val="00BF2251"/>
    <w:rsid w:val="00BF5029"/>
    <w:rsid w:val="00BF6087"/>
    <w:rsid w:val="00C030E4"/>
    <w:rsid w:val="00C03537"/>
    <w:rsid w:val="00C0720C"/>
    <w:rsid w:val="00C11497"/>
    <w:rsid w:val="00C221CD"/>
    <w:rsid w:val="00C2308C"/>
    <w:rsid w:val="00C359FD"/>
    <w:rsid w:val="00C44987"/>
    <w:rsid w:val="00C47ACC"/>
    <w:rsid w:val="00C549B1"/>
    <w:rsid w:val="00C562CC"/>
    <w:rsid w:val="00C66F53"/>
    <w:rsid w:val="00C741F0"/>
    <w:rsid w:val="00C76FCE"/>
    <w:rsid w:val="00C823D7"/>
    <w:rsid w:val="00C83796"/>
    <w:rsid w:val="00C86C57"/>
    <w:rsid w:val="00C87663"/>
    <w:rsid w:val="00C90AF7"/>
    <w:rsid w:val="00C927B0"/>
    <w:rsid w:val="00C979EF"/>
    <w:rsid w:val="00CB00AA"/>
    <w:rsid w:val="00CB654D"/>
    <w:rsid w:val="00CC7220"/>
    <w:rsid w:val="00CD0592"/>
    <w:rsid w:val="00CD06A3"/>
    <w:rsid w:val="00CD71A9"/>
    <w:rsid w:val="00CD71FA"/>
    <w:rsid w:val="00CE2703"/>
    <w:rsid w:val="00CE76E9"/>
    <w:rsid w:val="00D007B3"/>
    <w:rsid w:val="00D00FAD"/>
    <w:rsid w:val="00D010F2"/>
    <w:rsid w:val="00D02362"/>
    <w:rsid w:val="00D054A4"/>
    <w:rsid w:val="00D05B81"/>
    <w:rsid w:val="00D05E1E"/>
    <w:rsid w:val="00D11851"/>
    <w:rsid w:val="00D1314C"/>
    <w:rsid w:val="00D21FC7"/>
    <w:rsid w:val="00D226AE"/>
    <w:rsid w:val="00D24222"/>
    <w:rsid w:val="00D26759"/>
    <w:rsid w:val="00D3179C"/>
    <w:rsid w:val="00D3486A"/>
    <w:rsid w:val="00D350D3"/>
    <w:rsid w:val="00D373D0"/>
    <w:rsid w:val="00D407AB"/>
    <w:rsid w:val="00D42E33"/>
    <w:rsid w:val="00D4315F"/>
    <w:rsid w:val="00D6206F"/>
    <w:rsid w:val="00D64311"/>
    <w:rsid w:val="00D67001"/>
    <w:rsid w:val="00D77EE6"/>
    <w:rsid w:val="00D80A75"/>
    <w:rsid w:val="00D81DFA"/>
    <w:rsid w:val="00D850EB"/>
    <w:rsid w:val="00D91C8D"/>
    <w:rsid w:val="00D942E3"/>
    <w:rsid w:val="00D94579"/>
    <w:rsid w:val="00DA167E"/>
    <w:rsid w:val="00DA296A"/>
    <w:rsid w:val="00DB482A"/>
    <w:rsid w:val="00DB6676"/>
    <w:rsid w:val="00DC3F9E"/>
    <w:rsid w:val="00DC45CA"/>
    <w:rsid w:val="00DD6289"/>
    <w:rsid w:val="00DD6396"/>
    <w:rsid w:val="00DF10CA"/>
    <w:rsid w:val="00DF4E78"/>
    <w:rsid w:val="00E01704"/>
    <w:rsid w:val="00E079F8"/>
    <w:rsid w:val="00E1006E"/>
    <w:rsid w:val="00E1211B"/>
    <w:rsid w:val="00E20BB3"/>
    <w:rsid w:val="00E21DA9"/>
    <w:rsid w:val="00E23793"/>
    <w:rsid w:val="00E24CCF"/>
    <w:rsid w:val="00E27B69"/>
    <w:rsid w:val="00E34720"/>
    <w:rsid w:val="00E50DFE"/>
    <w:rsid w:val="00E65665"/>
    <w:rsid w:val="00E7463D"/>
    <w:rsid w:val="00E81C37"/>
    <w:rsid w:val="00E82954"/>
    <w:rsid w:val="00E85637"/>
    <w:rsid w:val="00E87335"/>
    <w:rsid w:val="00E90EFD"/>
    <w:rsid w:val="00E91C35"/>
    <w:rsid w:val="00EA2905"/>
    <w:rsid w:val="00EB3068"/>
    <w:rsid w:val="00EB4025"/>
    <w:rsid w:val="00EB5689"/>
    <w:rsid w:val="00EC003A"/>
    <w:rsid w:val="00ED45B3"/>
    <w:rsid w:val="00ED4DDB"/>
    <w:rsid w:val="00EE0D8C"/>
    <w:rsid w:val="00EE6EB7"/>
    <w:rsid w:val="00EE749C"/>
    <w:rsid w:val="00EF64D1"/>
    <w:rsid w:val="00F030A4"/>
    <w:rsid w:val="00F0519E"/>
    <w:rsid w:val="00F2158E"/>
    <w:rsid w:val="00F27648"/>
    <w:rsid w:val="00F33BB5"/>
    <w:rsid w:val="00F35957"/>
    <w:rsid w:val="00F35C37"/>
    <w:rsid w:val="00F412B4"/>
    <w:rsid w:val="00F45D26"/>
    <w:rsid w:val="00F51804"/>
    <w:rsid w:val="00F56422"/>
    <w:rsid w:val="00F64536"/>
    <w:rsid w:val="00F70505"/>
    <w:rsid w:val="00F74ED6"/>
    <w:rsid w:val="00F80F97"/>
    <w:rsid w:val="00F8134E"/>
    <w:rsid w:val="00F8299C"/>
    <w:rsid w:val="00F84B03"/>
    <w:rsid w:val="00F93F1A"/>
    <w:rsid w:val="00FB0DC2"/>
    <w:rsid w:val="00FB5811"/>
    <w:rsid w:val="00FC310C"/>
    <w:rsid w:val="00FC3693"/>
    <w:rsid w:val="00FC796A"/>
    <w:rsid w:val="00FD1E22"/>
    <w:rsid w:val="00FD4076"/>
    <w:rsid w:val="00FD7E60"/>
    <w:rsid w:val="00FE0875"/>
    <w:rsid w:val="00FF52FC"/>
    <w:rsid w:val="77750067"/>
    <w:rsid w:val="7C979DF4"/>
    <w:rsid w:val="BFFF466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he-IL"/>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semiHidden/>
    <w:unhideWhenUsed/>
    <w:qFormat/>
    <w:uiPriority w:val="99"/>
  </w:style>
  <w:style w:type="paragraph" w:styleId="3">
    <w:name w:val="Body Text"/>
    <w:basedOn w:val="1"/>
    <w:link w:val="25"/>
    <w:qFormat/>
    <w:uiPriority w:val="0"/>
    <w:pPr>
      <w:spacing w:after="240" w:line="240" w:lineRule="auto"/>
      <w:jc w:val="both"/>
    </w:pPr>
    <w:rPr>
      <w:rFonts w:ascii="Times New Roman" w:hAnsi="Times New Roman" w:eastAsia="宋体" w:cs="Simplified Arabic"/>
      <w:sz w:val="24"/>
      <w:szCs w:val="24"/>
      <w:lang w:val="en-GB" w:eastAsia="en-GB" w:bidi="ar-AE"/>
    </w:rPr>
  </w:style>
  <w:style w:type="paragraph" w:styleId="4">
    <w:name w:val="Balloon Text"/>
    <w:basedOn w:val="1"/>
    <w:link w:val="21"/>
    <w:semiHidden/>
    <w:unhideWhenUsed/>
    <w:qFormat/>
    <w:uiPriority w:val="99"/>
    <w:pPr>
      <w:spacing w:after="0" w:line="240" w:lineRule="auto"/>
    </w:pPr>
    <w:rPr>
      <w:sz w:val="18"/>
      <w:szCs w:val="18"/>
    </w:rPr>
  </w:style>
  <w:style w:type="paragraph" w:styleId="5">
    <w:name w:val="footer"/>
    <w:basedOn w:val="1"/>
    <w:link w:val="16"/>
    <w:unhideWhenUsed/>
    <w:qFormat/>
    <w:uiPriority w:val="99"/>
    <w:pPr>
      <w:tabs>
        <w:tab w:val="center" w:pos="4320"/>
        <w:tab w:val="right" w:pos="8640"/>
      </w:tabs>
      <w:spacing w:after="0" w:line="240" w:lineRule="auto"/>
    </w:pPr>
  </w:style>
  <w:style w:type="paragraph" w:styleId="6">
    <w:name w:val="header"/>
    <w:basedOn w:val="1"/>
    <w:link w:val="15"/>
    <w:unhideWhenUsed/>
    <w:qFormat/>
    <w:uiPriority w:val="99"/>
    <w:pPr>
      <w:tabs>
        <w:tab w:val="center" w:pos="4320"/>
        <w:tab w:val="right" w:pos="8640"/>
      </w:tabs>
      <w:spacing w:after="0" w:line="240" w:lineRule="auto"/>
    </w:pPr>
  </w:style>
  <w:style w:type="paragraph" w:styleId="7">
    <w:name w:val="footnote text"/>
    <w:basedOn w:val="1"/>
    <w:link w:val="17"/>
    <w:qFormat/>
    <w:uiPriority w:val="99"/>
    <w:pPr>
      <w:widowControl w:val="0"/>
      <w:snapToGrid w:val="0"/>
      <w:spacing w:after="0" w:line="240" w:lineRule="auto"/>
    </w:pPr>
    <w:rPr>
      <w:rFonts w:ascii="Times New Roman" w:hAnsi="Times New Roman" w:eastAsia="宋体" w:cs="Times New Roman"/>
      <w:kern w:val="2"/>
      <w:sz w:val="18"/>
      <w:szCs w:val="18"/>
      <w:lang w:bidi="ar-SA"/>
    </w:rPr>
  </w:style>
  <w:style w:type="paragraph" w:styleId="8">
    <w:name w:val="annotation subject"/>
    <w:basedOn w:val="2"/>
    <w:next w:val="2"/>
    <w:link w:val="23"/>
    <w:semiHidden/>
    <w:unhideWhenUsed/>
    <w:qFormat/>
    <w:uiPriority w:val="99"/>
    <w:rPr>
      <w:b/>
      <w:bCs/>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qFormat/>
    <w:uiPriority w:val="0"/>
    <w:rPr>
      <w:color w:val="0000FF"/>
      <w:u w:val="single"/>
    </w:rPr>
  </w:style>
  <w:style w:type="character" w:styleId="13">
    <w:name w:val="annotation reference"/>
    <w:basedOn w:val="11"/>
    <w:semiHidden/>
    <w:unhideWhenUsed/>
    <w:qFormat/>
    <w:uiPriority w:val="99"/>
    <w:rPr>
      <w:sz w:val="21"/>
      <w:szCs w:val="21"/>
    </w:rPr>
  </w:style>
  <w:style w:type="character" w:styleId="14">
    <w:name w:val="footnote reference"/>
    <w:qFormat/>
    <w:uiPriority w:val="0"/>
    <w:rPr>
      <w:vertAlign w:val="superscript"/>
    </w:rPr>
  </w:style>
  <w:style w:type="character" w:customStyle="1" w:styleId="15">
    <w:name w:val="页眉 字符"/>
    <w:basedOn w:val="11"/>
    <w:link w:val="6"/>
    <w:qFormat/>
    <w:uiPriority w:val="99"/>
  </w:style>
  <w:style w:type="character" w:customStyle="1" w:styleId="16">
    <w:name w:val="页脚 字符"/>
    <w:basedOn w:val="11"/>
    <w:link w:val="5"/>
    <w:qFormat/>
    <w:uiPriority w:val="99"/>
  </w:style>
  <w:style w:type="character" w:customStyle="1" w:styleId="17">
    <w:name w:val="脚注文本 字符"/>
    <w:basedOn w:val="11"/>
    <w:link w:val="7"/>
    <w:qFormat/>
    <w:uiPriority w:val="99"/>
    <w:rPr>
      <w:rFonts w:ascii="Times New Roman" w:hAnsi="Times New Roman" w:eastAsia="宋体" w:cs="Times New Roman"/>
      <w:kern w:val="2"/>
      <w:sz w:val="18"/>
      <w:szCs w:val="18"/>
      <w:lang w:bidi="ar-SA"/>
    </w:rPr>
  </w:style>
  <w:style w:type="paragraph" w:styleId="18">
    <w:name w:val="List Paragraph"/>
    <w:basedOn w:val="1"/>
    <w:qFormat/>
    <w:uiPriority w:val="34"/>
    <w:pPr>
      <w:ind w:left="720"/>
      <w:contextualSpacing/>
    </w:pPr>
  </w:style>
  <w:style w:type="paragraph" w:customStyle="1" w:styleId="19">
    <w:name w:val="Body Text 1"/>
    <w:basedOn w:val="1"/>
    <w:link w:val="20"/>
    <w:qFormat/>
    <w:uiPriority w:val="0"/>
    <w:pPr>
      <w:spacing w:after="240" w:line="240" w:lineRule="auto"/>
      <w:ind w:left="720"/>
      <w:jc w:val="both"/>
    </w:pPr>
    <w:rPr>
      <w:rFonts w:ascii="Times New Roman" w:hAnsi="Times New Roman" w:eastAsia="宋体" w:cs="Times New Roman"/>
      <w:sz w:val="24"/>
      <w:szCs w:val="24"/>
      <w:lang w:val="en-GB" w:eastAsia="en-GB" w:bidi="ar-AE"/>
    </w:rPr>
  </w:style>
  <w:style w:type="character" w:customStyle="1" w:styleId="20">
    <w:name w:val="Body Text 1 Char"/>
    <w:basedOn w:val="11"/>
    <w:link w:val="19"/>
    <w:qFormat/>
    <w:uiPriority w:val="0"/>
    <w:rPr>
      <w:rFonts w:ascii="Times New Roman" w:hAnsi="Times New Roman" w:eastAsia="宋体" w:cs="Times New Roman"/>
      <w:sz w:val="24"/>
      <w:szCs w:val="24"/>
      <w:lang w:val="en-GB" w:eastAsia="en-GB" w:bidi="ar-AE"/>
    </w:rPr>
  </w:style>
  <w:style w:type="character" w:customStyle="1" w:styleId="21">
    <w:name w:val="批注框文本 字符"/>
    <w:basedOn w:val="11"/>
    <w:link w:val="4"/>
    <w:semiHidden/>
    <w:qFormat/>
    <w:uiPriority w:val="99"/>
    <w:rPr>
      <w:sz w:val="18"/>
      <w:szCs w:val="18"/>
    </w:rPr>
  </w:style>
  <w:style w:type="character" w:customStyle="1" w:styleId="22">
    <w:name w:val="批注文字 字符"/>
    <w:basedOn w:val="11"/>
    <w:link w:val="2"/>
    <w:semiHidden/>
    <w:qFormat/>
    <w:uiPriority w:val="99"/>
  </w:style>
  <w:style w:type="character" w:customStyle="1" w:styleId="23">
    <w:name w:val="批注主题 字符"/>
    <w:basedOn w:val="22"/>
    <w:link w:val="8"/>
    <w:semiHidden/>
    <w:qFormat/>
    <w:uiPriority w:val="99"/>
    <w:rPr>
      <w:b/>
      <w:bCs/>
    </w:rPr>
  </w:style>
  <w:style w:type="paragraph" w:customStyle="1" w:styleId="24">
    <w:name w:val="修订1"/>
    <w:hidden/>
    <w:semiHidden/>
    <w:qFormat/>
    <w:uiPriority w:val="99"/>
    <w:rPr>
      <w:rFonts w:asciiTheme="minorHAnsi" w:hAnsiTheme="minorHAnsi" w:eastAsiaTheme="minorEastAsia" w:cstheme="minorBidi"/>
      <w:sz w:val="22"/>
      <w:szCs w:val="22"/>
      <w:lang w:val="en-US" w:eastAsia="zh-CN" w:bidi="he-IL"/>
    </w:rPr>
  </w:style>
  <w:style w:type="character" w:customStyle="1" w:styleId="25">
    <w:name w:val="正文文本 字符"/>
    <w:basedOn w:val="11"/>
    <w:link w:val="3"/>
    <w:qFormat/>
    <w:uiPriority w:val="0"/>
    <w:rPr>
      <w:rFonts w:ascii="Times New Roman" w:hAnsi="Times New Roman" w:eastAsia="宋体" w:cs="Simplified Arabic"/>
      <w:sz w:val="24"/>
      <w:szCs w:val="24"/>
      <w:lang w:val="en-GB" w:eastAsia="en-GB" w:bidi="ar-A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King &amp; Wood Mallesons</Company>
  <Pages>1</Pages>
  <Words>129</Words>
  <Characters>736</Characters>
  <Lines>6</Lines>
  <Paragraphs>1</Paragraphs>
  <TotalTime>357</TotalTime>
  <ScaleCrop>false</ScaleCrop>
  <LinksUpToDate>false</LinksUpToDate>
  <CharactersWithSpaces>864</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2020-11-04T19:30:00Z</dcterms:created>
  <dc:creator>King &amp; Wood Mallesons</dc:creator>
  <cp:lastModifiedBy>scjgj</cp:lastModifiedBy>
  <cp:lastPrinted>2019-01-03T23:14:00Z</cp:lastPrinted>
  <dcterms:modified xsi:type="dcterms:W3CDTF">2024-01-03T10:01:33Z</dcterms:modified>
  <cp:revision>152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