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6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案件名称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Minerva S.A.收购Marfrig Global Foods S.A.部分业务案（以下简称“本次交易”）</w:t>
            </w:r>
          </w:p>
          <w:p>
            <w:pPr>
              <w:widowControl/>
              <w:snapToGrid w:val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snapToGrid w:val="0"/>
              <w:jc w:val="lef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2023年8月28日，</w:t>
            </w:r>
            <w:r>
              <w:rPr>
                <w:rFonts w:ascii="Times New Roman" w:hAnsi="Times New Roman" w:eastAsia="仿宋"/>
                <w:sz w:val="24"/>
                <w:szCs w:val="24"/>
                <w:lang w:val="en-AU"/>
              </w:rPr>
              <w:t>Minerva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 xml:space="preserve"> S.A.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val="en-AU"/>
              </w:rPr>
              <w:t>（“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Minerva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val="en-AU"/>
              </w:rPr>
              <w:t>”）</w:t>
            </w:r>
            <w:r>
              <w:rPr>
                <w:rFonts w:ascii="Times New Roman" w:hAnsi="Times New Roman" w:eastAsia="仿宋"/>
                <w:sz w:val="24"/>
                <w:szCs w:val="24"/>
                <w:lang w:val="en-AU"/>
              </w:rPr>
              <w:t>与Marfrig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/>
                <w:sz w:val="24"/>
                <w:szCs w:val="24"/>
                <w:lang w:val="en-AU"/>
              </w:rPr>
              <w:t>Global Foods S.A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val="en-AU"/>
              </w:rPr>
              <w:t>（“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Marfrig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val="en-AU"/>
              </w:rPr>
              <w:t>”）</w:t>
            </w:r>
            <w:r>
              <w:rPr>
                <w:rFonts w:ascii="Times New Roman" w:hAnsi="Times New Roman" w:eastAsia="仿宋"/>
                <w:sz w:val="24"/>
                <w:szCs w:val="24"/>
                <w:lang w:val="en-AU"/>
              </w:rPr>
              <w:t>及其关联公司签署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交易</w:t>
            </w:r>
            <w:r>
              <w:rPr>
                <w:rFonts w:ascii="Times New Roman" w:hAnsi="Times New Roman" w:eastAsia="仿宋"/>
                <w:sz w:val="24"/>
                <w:szCs w:val="24"/>
                <w:lang w:val="en-AU"/>
              </w:rPr>
              <w:t>协议，拟收购Marfrig位于乌拉圭、巴西、阿根廷以及智利的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部分</w:t>
            </w:r>
            <w:r>
              <w:rPr>
                <w:rFonts w:ascii="Times New Roman" w:hAnsi="Times New Roman" w:eastAsia="仿宋"/>
                <w:sz w:val="24"/>
                <w:szCs w:val="24"/>
                <w:lang w:val="en-AU"/>
              </w:rPr>
              <w:t>资产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val="en-AU"/>
              </w:rPr>
              <w:t>（“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标的业务</w:t>
            </w:r>
            <w:r>
              <w:rPr>
                <w:rFonts w:hint="eastAsia" w:ascii="Times New Roman" w:hAnsi="Times New Roman" w:eastAsia="仿宋"/>
                <w:sz w:val="24"/>
                <w:szCs w:val="24"/>
                <w:lang w:val="en-AU"/>
              </w:rPr>
              <w:t>”）</w:t>
            </w:r>
            <w:r>
              <w:rPr>
                <w:rFonts w:ascii="Times New Roman" w:hAnsi="Times New Roman" w:eastAsia="仿宋"/>
                <w:sz w:val="24"/>
                <w:szCs w:val="24"/>
                <w:lang w:val="en-AU"/>
              </w:rPr>
              <w:t>。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该标的业务主要从事牛及羊的屠宰和加工业务。</w:t>
            </w:r>
          </w:p>
          <w:p>
            <w:pPr>
              <w:widowControl/>
              <w:snapToGrid w:val="0"/>
              <w:jc w:val="left"/>
              <w:rPr>
                <w:rFonts w:hint="eastAsia"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本次交易前，Marfrig单独控制标的业务；本次交易后，Minerva单独控制标的业务。</w:t>
            </w:r>
          </w:p>
          <w:p>
            <w:pPr>
              <w:widowControl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1、Minerva</w:t>
            </w:r>
          </w:p>
        </w:tc>
        <w:tc>
          <w:tcPr>
            <w:tcW w:w="5153" w:type="dxa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Minerva于1992年3月9日设立，主要从事牛肉的生产和供应，特别是生牛屠宰、牛肉加工，以及新鲜、冷鲜、冷冻和加工牛肉的销售。</w:t>
            </w:r>
          </w:p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Minerva的最终控制人为VDQ Holdings S.A.，主要业务是持有和投资其他公司和资产。</w:t>
            </w:r>
          </w:p>
          <w:p>
            <w:pPr>
              <w:widowControl/>
              <w:snapToGrid w:val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标的业务</w:t>
            </w:r>
          </w:p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  <w:lang w:val="en-AU"/>
              </w:rPr>
            </w:pPr>
          </w:p>
        </w:tc>
        <w:tc>
          <w:tcPr>
            <w:tcW w:w="5153" w:type="dxa"/>
          </w:tcPr>
          <w:p>
            <w:pPr>
              <w:widowControl/>
              <w:snapToGrid w:val="0"/>
              <w:rPr>
                <w:rFonts w:ascii="Times New Roman" w:hAnsi="Times New Roman" w:eastAsia="仿宋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000000"/>
                <w:sz w:val="24"/>
                <w:szCs w:val="24"/>
              </w:rPr>
              <w:t>标的业务为Marfrig集团的部分牛、羊屠宰和加工业务。</w:t>
            </w:r>
          </w:p>
          <w:p>
            <w:pPr>
              <w:widowControl/>
              <w:snapToGrid w:val="0"/>
              <w:rPr>
                <w:rFonts w:ascii="Times New Roman" w:hAnsi="Times New Roman" w:eastAsia="仿宋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000000"/>
                <w:sz w:val="24"/>
                <w:szCs w:val="24"/>
              </w:rPr>
              <w:t>标的业务由Marfrig最终控制。</w:t>
            </w:r>
          </w:p>
          <w:p>
            <w:pPr>
              <w:widowControl/>
              <w:snapToGrid w:val="0"/>
              <w:rPr>
                <w:rFonts w:ascii="Times New Roman" w:hAnsi="Times New Roman" w:eastAsia="仿宋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2"/>
              </w:rPr>
              <w:sym w:font="Wingdings" w:char="F0FE"/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ascii="Times New Roman" w:hAnsi="Times New Roman" w:eastAsia="仿宋"/>
                <w:b/>
                <w:bCs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b/>
                <w:bCs/>
                <w:color w:val="333333"/>
                <w:kern w:val="0"/>
                <w:sz w:val="24"/>
                <w:szCs w:val="24"/>
              </w:rPr>
              <w:t>横向重叠：</w:t>
            </w:r>
          </w:p>
          <w:p>
            <w:pPr>
              <w:spacing w:before="120" w:after="12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（1）2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022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年中国境内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  <w:lang w:eastAsia="zh-CN"/>
              </w:rPr>
              <w:t>进口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冷冻牛肉市场</w:t>
            </w:r>
          </w:p>
          <w:p>
            <w:pPr>
              <w:spacing w:before="120" w:after="12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Minerva：5-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0%；标的业务：5-10%</w:t>
            </w:r>
            <w:bookmarkStart w:id="0" w:name="_GoBack"/>
            <w:bookmarkEnd w:id="0"/>
          </w:p>
          <w:p>
            <w:pPr>
              <w:spacing w:before="120" w:after="12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合计：10-15%</w:t>
            </w:r>
          </w:p>
          <w:p>
            <w:pPr>
              <w:spacing w:before="120" w:after="12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（2）2022年中国境内冷鲜牛肉市场</w:t>
            </w:r>
          </w:p>
          <w:p>
            <w:pPr>
              <w:spacing w:before="120" w:after="12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Minerva：0-5%；标的业务：0-5%</w:t>
            </w:r>
          </w:p>
          <w:p>
            <w:pPr>
              <w:spacing w:before="120" w:after="12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合计：0-5%</w:t>
            </w:r>
          </w:p>
          <w:p>
            <w:pPr>
              <w:spacing w:before="120" w:after="12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（3）2022年中国境内牛内脏市场</w:t>
            </w:r>
          </w:p>
          <w:p>
            <w:pPr>
              <w:spacing w:before="120" w:after="12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Minerva：0-5%；标的业务：0-5%</w:t>
            </w:r>
          </w:p>
          <w:p>
            <w:pPr>
              <w:spacing w:before="120" w:after="12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合计：0-5%</w:t>
            </w:r>
          </w:p>
          <w:p>
            <w:pPr>
              <w:spacing w:before="120" w:after="12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（4）2022年中国境内牛副产品市场</w:t>
            </w:r>
          </w:p>
          <w:p>
            <w:pPr>
              <w:spacing w:before="120" w:after="12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Minerva：0-5%；标的业务：0-5%</w:t>
            </w:r>
          </w:p>
          <w:p>
            <w:pPr>
              <w:spacing w:before="120" w:after="12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合计：0-5%</w:t>
            </w:r>
          </w:p>
        </w:tc>
      </w:tr>
    </w:tbl>
    <w:p>
      <w:pPr>
        <w:rPr>
          <w:rFonts w:ascii="Times New Roman" w:hAnsi="Times New Roman" w:eastAsia="方正仿宋_GBK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黑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CESI楷体-GB2312">
    <w:panose1 w:val="02000500000000000000"/>
    <w:charset w:val="86"/>
    <w:family w:val="auto"/>
    <w:pitch w:val="default"/>
    <w:sig w:usb0="800002BF" w:usb1="184F6CF8" w:usb2="00000012" w:usb3="00000000" w:csb0="0004000F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阿里巴巴普惠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阿里巴巴普惠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hOGUzOTIxNjM3YmJjYjM3ZjFmYWMzOTllYTc2YmIifQ=="/>
  </w:docVars>
  <w:rsids>
    <w:rsidRoot w:val="00CB00DF"/>
    <w:rsid w:val="00037065"/>
    <w:rsid w:val="0005368A"/>
    <w:rsid w:val="000A2C48"/>
    <w:rsid w:val="000C30FC"/>
    <w:rsid w:val="000D7EBA"/>
    <w:rsid w:val="000E1804"/>
    <w:rsid w:val="001164CD"/>
    <w:rsid w:val="00155717"/>
    <w:rsid w:val="00163207"/>
    <w:rsid w:val="001706B7"/>
    <w:rsid w:val="00174E74"/>
    <w:rsid w:val="001837A3"/>
    <w:rsid w:val="001C5097"/>
    <w:rsid w:val="00215672"/>
    <w:rsid w:val="00246BBE"/>
    <w:rsid w:val="00292C28"/>
    <w:rsid w:val="002D779E"/>
    <w:rsid w:val="003C0AEB"/>
    <w:rsid w:val="004D488D"/>
    <w:rsid w:val="004F7688"/>
    <w:rsid w:val="006467D8"/>
    <w:rsid w:val="006917D9"/>
    <w:rsid w:val="00693411"/>
    <w:rsid w:val="006A531B"/>
    <w:rsid w:val="006F7693"/>
    <w:rsid w:val="00710140"/>
    <w:rsid w:val="0074701F"/>
    <w:rsid w:val="007E5901"/>
    <w:rsid w:val="007F2275"/>
    <w:rsid w:val="00866F66"/>
    <w:rsid w:val="00915F0F"/>
    <w:rsid w:val="009532DF"/>
    <w:rsid w:val="00975052"/>
    <w:rsid w:val="00997019"/>
    <w:rsid w:val="009A5029"/>
    <w:rsid w:val="009D38D5"/>
    <w:rsid w:val="00A04ED8"/>
    <w:rsid w:val="00A20CE5"/>
    <w:rsid w:val="00A323F3"/>
    <w:rsid w:val="00A53F26"/>
    <w:rsid w:val="00A7521A"/>
    <w:rsid w:val="00AA0CC5"/>
    <w:rsid w:val="00B16AFE"/>
    <w:rsid w:val="00B65DD5"/>
    <w:rsid w:val="00BA1BB7"/>
    <w:rsid w:val="00BA58C8"/>
    <w:rsid w:val="00BD10B6"/>
    <w:rsid w:val="00C07076"/>
    <w:rsid w:val="00C56646"/>
    <w:rsid w:val="00C978DA"/>
    <w:rsid w:val="00CA7513"/>
    <w:rsid w:val="00CB00DF"/>
    <w:rsid w:val="00CC4511"/>
    <w:rsid w:val="00CF5D38"/>
    <w:rsid w:val="00D457E4"/>
    <w:rsid w:val="00D73C72"/>
    <w:rsid w:val="00E0592B"/>
    <w:rsid w:val="00E31738"/>
    <w:rsid w:val="00E76DF6"/>
    <w:rsid w:val="00E86786"/>
    <w:rsid w:val="00ED2F80"/>
    <w:rsid w:val="00F1624E"/>
    <w:rsid w:val="00F32F8A"/>
    <w:rsid w:val="00F70D17"/>
    <w:rsid w:val="00F810AA"/>
    <w:rsid w:val="00FB43EC"/>
    <w:rsid w:val="00FB6B40"/>
    <w:rsid w:val="00FD0ACB"/>
    <w:rsid w:val="00FF0CF6"/>
    <w:rsid w:val="03D51AC8"/>
    <w:rsid w:val="0C4E1F36"/>
    <w:rsid w:val="10616B79"/>
    <w:rsid w:val="10B31987"/>
    <w:rsid w:val="13DB346A"/>
    <w:rsid w:val="17057A51"/>
    <w:rsid w:val="24CA717B"/>
    <w:rsid w:val="2F9724A4"/>
    <w:rsid w:val="361445C6"/>
    <w:rsid w:val="36370AC5"/>
    <w:rsid w:val="394957E8"/>
    <w:rsid w:val="39573B18"/>
    <w:rsid w:val="3B202D54"/>
    <w:rsid w:val="3E1545DF"/>
    <w:rsid w:val="412D7975"/>
    <w:rsid w:val="483B1607"/>
    <w:rsid w:val="48414730"/>
    <w:rsid w:val="4A021994"/>
    <w:rsid w:val="4BFD39E4"/>
    <w:rsid w:val="4F33527F"/>
    <w:rsid w:val="4FE56DDF"/>
    <w:rsid w:val="523A5B1F"/>
    <w:rsid w:val="54D126E9"/>
    <w:rsid w:val="57520D6A"/>
    <w:rsid w:val="57F91339"/>
    <w:rsid w:val="59E509DA"/>
    <w:rsid w:val="5C7F5803"/>
    <w:rsid w:val="5D417D61"/>
    <w:rsid w:val="5E551319"/>
    <w:rsid w:val="5EB36A3D"/>
    <w:rsid w:val="5ED466AA"/>
    <w:rsid w:val="66FB3677"/>
    <w:rsid w:val="679542C8"/>
    <w:rsid w:val="687E1644"/>
    <w:rsid w:val="6D73789E"/>
    <w:rsid w:val="717958C4"/>
    <w:rsid w:val="73513F26"/>
    <w:rsid w:val="753B6AE8"/>
    <w:rsid w:val="7FEFEE0A"/>
    <w:rsid w:val="E3BB529D"/>
    <w:rsid w:val="EFFF0452"/>
    <w:rsid w:val="FD1EC22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0">
    <w:name w:val="批注框文本 字符"/>
    <w:basedOn w:val="7"/>
    <w:link w:val="3"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paragraph" w:customStyle="1" w:styleId="11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537</Words>
  <Characters>3064</Characters>
  <Lines>25</Lines>
  <Paragraphs>7</Paragraphs>
  <TotalTime>1047</TotalTime>
  <ScaleCrop>false</ScaleCrop>
  <LinksUpToDate>false</LinksUpToDate>
  <CharactersWithSpaces>3594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2023-12-28T12:52:00Z</dcterms:created>
  <dc:creator>陈媚</dc:creator>
  <cp:lastModifiedBy>oa</cp:lastModifiedBy>
  <dcterms:modified xsi:type="dcterms:W3CDTF">2024-01-17T08:14:20Z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  <property fmtid="{D5CDD505-2E9C-101B-9397-08002B2CF9AE}" pid="3" name="ICV">
    <vt:lpwstr>24882A3B8B0D48BDAE6ACFDC75AA9464_13</vt:lpwstr>
  </property>
</Properties>
</file>