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7558" w14:textId="61B8DF75" w:rsidR="0025066F" w:rsidRPr="003662FD" w:rsidRDefault="00C77246" w:rsidP="00642395">
      <w:pPr>
        <w:jc w:val="center"/>
        <w:rPr>
          <w:rFonts w:ascii="黑体" w:eastAsia="黑体" w:hAnsi="黑体"/>
          <w:b/>
          <w:sz w:val="36"/>
          <w:szCs w:val="36"/>
        </w:rPr>
      </w:pPr>
      <w:r>
        <w:rPr>
          <w:rFonts w:ascii="黑体" w:eastAsia="黑体" w:hAnsi="黑体"/>
          <w:b/>
          <w:sz w:val="36"/>
          <w:szCs w:val="36"/>
        </w:rPr>
        <w:t>经营者集中简易案件公示表</w:t>
      </w:r>
    </w:p>
    <w:p w14:paraId="0C6163A0" w14:textId="77777777" w:rsidR="00C77246" w:rsidRPr="00B945D9" w:rsidRDefault="00C77246" w:rsidP="00642395">
      <w:pPr>
        <w:jc w:val="center"/>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38"/>
        <w:gridCol w:w="2126"/>
        <w:gridCol w:w="4794"/>
      </w:tblGrid>
      <w:tr w:rsidR="0025066F" w:rsidRPr="00933F38" w14:paraId="578A9BD6" w14:textId="77777777" w:rsidTr="003269BC">
        <w:tc>
          <w:tcPr>
            <w:tcW w:w="1838" w:type="dxa"/>
            <w:shd w:val="clear" w:color="auto" w:fill="D9D9D9"/>
          </w:tcPr>
          <w:p w14:paraId="59616BE1" w14:textId="275BAA6D" w:rsidR="0025066F" w:rsidRPr="00A66496" w:rsidRDefault="00C77246" w:rsidP="003231CB">
            <w:pPr>
              <w:snapToGrid w:val="0"/>
              <w:rPr>
                <w:rFonts w:ascii="宋体" w:hAnsi="宋体"/>
                <w:sz w:val="24"/>
                <w:szCs w:val="24"/>
              </w:rPr>
            </w:pPr>
            <w:r>
              <w:rPr>
                <w:rFonts w:ascii="宋体" w:hAnsi="宋体"/>
                <w:color w:val="333333"/>
                <w:kern w:val="0"/>
                <w:sz w:val="24"/>
                <w:szCs w:val="24"/>
              </w:rPr>
              <w:t>案件名称</w:t>
            </w:r>
          </w:p>
        </w:tc>
        <w:tc>
          <w:tcPr>
            <w:tcW w:w="6920" w:type="dxa"/>
            <w:gridSpan w:val="2"/>
          </w:tcPr>
          <w:p w14:paraId="09748E7A" w14:textId="08405D67" w:rsidR="0025066F" w:rsidRPr="007D747A" w:rsidRDefault="00556F6E" w:rsidP="00977CC5">
            <w:pPr>
              <w:snapToGrid w:val="0"/>
              <w:rPr>
                <w:rFonts w:ascii="宋体" w:hAnsi="宋体"/>
                <w:sz w:val="24"/>
                <w:szCs w:val="24"/>
              </w:rPr>
            </w:pPr>
            <w:r>
              <w:rPr>
                <w:rFonts w:ascii="宋体" w:hAnsi="宋体" w:hint="eastAsia"/>
                <w:sz w:val="24"/>
                <w:szCs w:val="24"/>
              </w:rPr>
              <w:t>加拿大养老金计划投资委员会与Ossa投资私人有限公司通过合同取得富谙智集团有限公司的控制权案</w:t>
            </w:r>
          </w:p>
        </w:tc>
      </w:tr>
      <w:tr w:rsidR="0025066F" w:rsidRPr="00A66496" w14:paraId="10D20590" w14:textId="77777777" w:rsidTr="003269BC">
        <w:trPr>
          <w:trHeight w:val="993"/>
        </w:trPr>
        <w:tc>
          <w:tcPr>
            <w:tcW w:w="1838" w:type="dxa"/>
            <w:shd w:val="clear" w:color="auto" w:fill="D9D9D9"/>
          </w:tcPr>
          <w:p w14:paraId="56A58A34" w14:textId="77777777" w:rsidR="00C77246" w:rsidRPr="00A66496" w:rsidRDefault="00C77246" w:rsidP="003231CB">
            <w:pPr>
              <w:snapToGrid w:val="0"/>
              <w:rPr>
                <w:rFonts w:ascii="宋体" w:hAnsi="宋体"/>
                <w:color w:val="333333"/>
                <w:kern w:val="0"/>
                <w:sz w:val="24"/>
                <w:szCs w:val="24"/>
              </w:rPr>
            </w:pPr>
            <w:r>
              <w:rPr>
                <w:rFonts w:ascii="宋体" w:hAnsi="宋体"/>
                <w:color w:val="333333"/>
                <w:kern w:val="0"/>
                <w:sz w:val="24"/>
                <w:szCs w:val="24"/>
              </w:rPr>
              <w:t>交易概况</w:t>
            </w:r>
          </w:p>
          <w:p w14:paraId="7B893F73" w14:textId="27B3D963" w:rsidR="0025066F" w:rsidRPr="00A66496" w:rsidRDefault="00C77246" w:rsidP="003231CB">
            <w:pPr>
              <w:snapToGrid w:val="0"/>
              <w:rPr>
                <w:rFonts w:ascii="宋体" w:hAnsi="宋体"/>
                <w:sz w:val="24"/>
                <w:szCs w:val="24"/>
              </w:rPr>
            </w:pPr>
            <w:r>
              <w:rPr>
                <w:rFonts w:ascii="宋体" w:hAnsi="宋体"/>
                <w:color w:val="333333"/>
                <w:kern w:val="0"/>
                <w:sz w:val="24"/>
                <w:szCs w:val="24"/>
              </w:rPr>
              <w:t>（限200字内）</w:t>
            </w:r>
          </w:p>
        </w:tc>
        <w:tc>
          <w:tcPr>
            <w:tcW w:w="6920" w:type="dxa"/>
            <w:gridSpan w:val="2"/>
          </w:tcPr>
          <w:p w14:paraId="43DBF0B8" w14:textId="3439C481" w:rsidR="00802A2F" w:rsidRPr="007D747A" w:rsidRDefault="00D242F5" w:rsidP="00556F6E">
            <w:pPr>
              <w:snapToGrid w:val="0"/>
              <w:rPr>
                <w:rFonts w:ascii="宋体" w:hAnsi="宋体"/>
                <w:sz w:val="24"/>
                <w:szCs w:val="24"/>
                <w:lang w:val="en-GB"/>
              </w:rPr>
            </w:pPr>
            <w:r>
              <w:rPr>
                <w:rFonts w:ascii="宋体" w:hAnsi="宋体" w:hint="eastAsia"/>
                <w:sz w:val="24"/>
                <w:szCs w:val="24"/>
                <w:lang w:val="en-GB"/>
              </w:rPr>
              <w:t>本交易涉及因</w:t>
            </w:r>
            <w:r>
              <w:rPr>
                <w:rFonts w:ascii="宋体" w:hAnsi="宋体" w:hint="eastAsia"/>
                <w:sz w:val="24"/>
                <w:szCs w:val="24"/>
              </w:rPr>
              <w:t>加拿大养老金计划投资委员会（“</w:t>
            </w:r>
            <w:r>
              <w:rPr>
                <w:rFonts w:ascii="宋体" w:hAnsi="宋体" w:hint="eastAsia"/>
                <w:b/>
                <w:bCs/>
                <w:sz w:val="24"/>
                <w:szCs w:val="24"/>
                <w:lang w:val="en-GB"/>
              </w:rPr>
              <w:t>CPPIB</w:t>
            </w:r>
            <w:r>
              <w:rPr>
                <w:rFonts w:ascii="宋体" w:hAnsi="宋体" w:hint="eastAsia"/>
                <w:sz w:val="24"/>
                <w:szCs w:val="24"/>
              </w:rPr>
              <w:t>”）</w:t>
            </w:r>
            <w:r>
              <w:rPr>
                <w:rFonts w:ascii="宋体" w:hAnsi="宋体" w:hint="eastAsia"/>
                <w:sz w:val="24"/>
                <w:szCs w:val="24"/>
                <w:lang w:val="en-GB"/>
              </w:rPr>
              <w:t>和Ossa投资私人有限公司（“</w:t>
            </w:r>
            <w:r>
              <w:rPr>
                <w:rFonts w:ascii="宋体" w:hAnsi="宋体" w:hint="eastAsia"/>
                <w:b/>
                <w:bCs/>
                <w:sz w:val="24"/>
                <w:szCs w:val="24"/>
                <w:lang w:val="en-GB"/>
              </w:rPr>
              <w:t>Ossa投资</w:t>
            </w:r>
            <w:r>
              <w:rPr>
                <w:rFonts w:ascii="宋体" w:hAnsi="宋体" w:hint="eastAsia"/>
                <w:sz w:val="24"/>
                <w:szCs w:val="24"/>
                <w:lang w:val="en-GB"/>
              </w:rPr>
              <w:t>”）通过合同方式获得富谙智集团有限公司（“</w:t>
            </w:r>
            <w:r>
              <w:rPr>
                <w:rFonts w:ascii="宋体" w:hAnsi="宋体" w:hint="eastAsia"/>
                <w:b/>
                <w:bCs/>
                <w:sz w:val="24"/>
                <w:szCs w:val="24"/>
                <w:lang w:val="en-GB"/>
              </w:rPr>
              <w:t>目标公司</w:t>
            </w:r>
            <w:r>
              <w:rPr>
                <w:rFonts w:ascii="宋体" w:hAnsi="宋体" w:hint="eastAsia"/>
                <w:sz w:val="24"/>
                <w:szCs w:val="24"/>
                <w:lang w:val="en-GB"/>
              </w:rPr>
              <w:t>”）的额外权利而（从中国经营者集中的角度）导致目标公司控制权结构变化的事宜。目标公司仅在中国境外提供金融软件业务。</w:t>
            </w:r>
          </w:p>
          <w:p w14:paraId="57535AB3" w14:textId="77777777" w:rsidR="00CC1ED5" w:rsidRPr="007D747A" w:rsidRDefault="00CC1ED5" w:rsidP="00556F6E">
            <w:pPr>
              <w:snapToGrid w:val="0"/>
              <w:rPr>
                <w:rFonts w:ascii="宋体" w:hAnsi="宋体"/>
                <w:sz w:val="24"/>
                <w:szCs w:val="24"/>
                <w:lang w:val="en-GB"/>
              </w:rPr>
            </w:pPr>
          </w:p>
          <w:p w14:paraId="42DF6FD5" w14:textId="5CCF426B" w:rsidR="00137F15" w:rsidRPr="007D747A" w:rsidRDefault="00572949" w:rsidP="00556F6E">
            <w:pPr>
              <w:snapToGrid w:val="0"/>
              <w:rPr>
                <w:rFonts w:ascii="宋体" w:hAnsi="宋体"/>
                <w:sz w:val="24"/>
                <w:szCs w:val="24"/>
                <w:lang w:val="en-GB"/>
              </w:rPr>
            </w:pPr>
            <w:r>
              <w:rPr>
                <w:rFonts w:ascii="宋体" w:hAnsi="宋体" w:hint="eastAsia"/>
                <w:sz w:val="24"/>
                <w:szCs w:val="24"/>
                <w:lang w:val="en-GB"/>
              </w:rPr>
              <w:t>本交易前，目标公司由魁北克储蓄投资集团（“</w:t>
            </w:r>
            <w:r>
              <w:rPr>
                <w:rFonts w:ascii="宋体" w:hAnsi="宋体" w:hint="eastAsia"/>
                <w:b/>
                <w:bCs/>
                <w:sz w:val="24"/>
                <w:szCs w:val="24"/>
                <w:lang w:val="en-GB"/>
              </w:rPr>
              <w:t>CDPQ</w:t>
            </w:r>
            <w:r>
              <w:rPr>
                <w:rFonts w:ascii="宋体" w:hAnsi="宋体" w:hint="eastAsia"/>
                <w:sz w:val="24"/>
                <w:szCs w:val="24"/>
                <w:lang w:val="en-GB"/>
              </w:rPr>
              <w:t>”）和世代投资管理有限责任公司（“</w:t>
            </w:r>
            <w:r>
              <w:rPr>
                <w:rFonts w:ascii="宋体" w:hAnsi="宋体" w:hint="eastAsia"/>
                <w:b/>
                <w:bCs/>
                <w:sz w:val="24"/>
                <w:szCs w:val="24"/>
                <w:lang w:val="en-GB"/>
              </w:rPr>
              <w:t>GIM</w:t>
            </w:r>
            <w:r>
              <w:rPr>
                <w:rFonts w:ascii="宋体" w:hAnsi="宋体" w:hint="eastAsia"/>
                <w:sz w:val="24"/>
                <w:szCs w:val="24"/>
                <w:lang w:val="en-GB"/>
              </w:rPr>
              <w:t>”）间接共同最终控制。本交易后，由于目标公司的特定战略事项将需要CDPQ、GIM、</w:t>
            </w:r>
            <w:r>
              <w:rPr>
                <w:rFonts w:ascii="宋体" w:hAnsi="宋体" w:hint="eastAsia"/>
                <w:sz w:val="24"/>
                <w:szCs w:val="24"/>
              </w:rPr>
              <w:t>淡马锡控股（私人）有限公司（“</w:t>
            </w:r>
            <w:r>
              <w:rPr>
                <w:rFonts w:ascii="宋体" w:hAnsi="宋体" w:hint="eastAsia"/>
                <w:b/>
                <w:bCs/>
                <w:sz w:val="24"/>
                <w:szCs w:val="24"/>
              </w:rPr>
              <w:t>淡马锡</w:t>
            </w:r>
            <w:r>
              <w:rPr>
                <w:rFonts w:ascii="宋体" w:hAnsi="宋体" w:hint="eastAsia"/>
                <w:sz w:val="24"/>
                <w:szCs w:val="24"/>
              </w:rPr>
              <w:t>”）</w:t>
            </w:r>
            <w:r>
              <w:rPr>
                <w:rFonts w:ascii="宋体" w:hAnsi="宋体" w:hint="eastAsia"/>
                <w:sz w:val="24"/>
                <w:szCs w:val="24"/>
                <w:lang w:val="en-GB"/>
              </w:rPr>
              <w:t>和CPPIB中至少三方的批准（即可被视为欧盟经营者集中规定下的“轮转联盟”），</w:t>
            </w:r>
            <w:r>
              <w:rPr>
                <w:rFonts w:ascii="宋体" w:hAnsi="宋体" w:hint="eastAsia"/>
                <w:sz w:val="24"/>
                <w:lang w:val="en-GB"/>
              </w:rPr>
              <w:t>从中国经营者集中角度，目标公司可以被认为由</w:t>
            </w:r>
            <w:r>
              <w:rPr>
                <w:rFonts w:ascii="宋体" w:hAnsi="宋体"/>
                <w:sz w:val="24"/>
                <w:lang w:val="en-GB"/>
              </w:rPr>
              <w:t>CDPQ</w:t>
            </w:r>
            <w:r>
              <w:rPr>
                <w:rFonts w:ascii="宋体" w:hAnsi="宋体" w:hint="eastAsia"/>
                <w:sz w:val="24"/>
                <w:lang w:val="en-GB"/>
              </w:rPr>
              <w:t>、</w:t>
            </w:r>
            <w:r>
              <w:rPr>
                <w:rFonts w:ascii="宋体" w:hAnsi="宋体"/>
                <w:sz w:val="24"/>
                <w:lang w:val="en-GB"/>
              </w:rPr>
              <w:t>GIM</w:t>
            </w:r>
            <w:r>
              <w:rPr>
                <w:rFonts w:ascii="宋体" w:hAnsi="宋体" w:hint="eastAsia"/>
                <w:sz w:val="24"/>
                <w:lang w:val="en-GB"/>
              </w:rPr>
              <w:t>、</w:t>
            </w:r>
            <w:r>
              <w:rPr>
                <w:rFonts w:ascii="宋体" w:hAnsi="宋体"/>
                <w:sz w:val="24"/>
                <w:lang w:val="en-GB"/>
              </w:rPr>
              <w:t>CPPIB</w:t>
            </w:r>
            <w:r>
              <w:rPr>
                <w:rFonts w:ascii="宋体" w:hAnsi="宋体" w:hint="eastAsia"/>
                <w:sz w:val="24"/>
                <w:lang w:val="en-GB"/>
              </w:rPr>
              <w:t>和</w:t>
            </w:r>
            <w:r>
              <w:rPr>
                <w:rFonts w:ascii="宋体" w:hAnsi="宋体"/>
                <w:sz w:val="24"/>
                <w:lang w:val="en-GB"/>
              </w:rPr>
              <w:t>Ossa</w:t>
            </w:r>
            <w:r>
              <w:rPr>
                <w:rFonts w:ascii="宋体" w:hAnsi="宋体" w:hint="eastAsia"/>
                <w:sz w:val="24"/>
                <w:lang w:val="en-GB"/>
              </w:rPr>
              <w:t>投资共同控制。</w:t>
            </w:r>
          </w:p>
        </w:tc>
      </w:tr>
      <w:tr w:rsidR="00556F6E" w:rsidRPr="00D4357B" w14:paraId="560A0FD1" w14:textId="77777777" w:rsidTr="003269BC">
        <w:trPr>
          <w:trHeight w:val="468"/>
        </w:trPr>
        <w:tc>
          <w:tcPr>
            <w:tcW w:w="1838" w:type="dxa"/>
            <w:vMerge w:val="restart"/>
            <w:tcBorders>
              <w:top w:val="single" w:sz="4" w:space="0" w:color="auto"/>
              <w:left w:val="single" w:sz="4" w:space="0" w:color="auto"/>
              <w:right w:val="single" w:sz="4" w:space="0" w:color="auto"/>
            </w:tcBorders>
            <w:shd w:val="clear" w:color="auto" w:fill="D9D9D9"/>
            <w:vAlign w:val="center"/>
          </w:tcPr>
          <w:p w14:paraId="7A8CC7EA" w14:textId="3186EC40" w:rsidR="00556F6E" w:rsidRPr="00977CC5" w:rsidRDefault="00556F6E" w:rsidP="00977CC5">
            <w:pPr>
              <w:snapToGrid w:val="0"/>
              <w:rPr>
                <w:rFonts w:ascii="宋体" w:hAnsi="宋体"/>
                <w:color w:val="333333"/>
                <w:kern w:val="0"/>
                <w:sz w:val="24"/>
                <w:szCs w:val="24"/>
              </w:rPr>
            </w:pPr>
            <w:r>
              <w:rPr>
                <w:rFonts w:ascii="宋体" w:hAnsi="宋体" w:hint="eastAsia"/>
                <w:color w:val="333333"/>
                <w:kern w:val="0"/>
                <w:sz w:val="24"/>
                <w:szCs w:val="24"/>
              </w:rPr>
              <w:t>参与集中的经营者简介（每个限100 字以内）</w:t>
            </w:r>
          </w:p>
        </w:tc>
        <w:tc>
          <w:tcPr>
            <w:tcW w:w="2126" w:type="dxa"/>
          </w:tcPr>
          <w:p w14:paraId="05DE66A1" w14:textId="49080646" w:rsidR="00556F6E" w:rsidRPr="007D747A" w:rsidRDefault="00556F6E" w:rsidP="003231CB">
            <w:pPr>
              <w:widowControl/>
              <w:snapToGrid w:val="0"/>
              <w:rPr>
                <w:rFonts w:ascii="宋体" w:hAnsi="宋体"/>
                <w:sz w:val="24"/>
                <w:szCs w:val="24"/>
              </w:rPr>
            </w:pPr>
            <w:r>
              <w:rPr>
                <w:rFonts w:ascii="宋体" w:hAnsi="宋体"/>
                <w:sz w:val="24"/>
                <w:szCs w:val="24"/>
              </w:rPr>
              <w:t>1.</w:t>
            </w:r>
            <w:r>
              <w:rPr>
                <w:rFonts w:ascii="宋体" w:hAnsi="宋体" w:hint="eastAsia"/>
              </w:rPr>
              <w:t xml:space="preserve"> </w:t>
            </w:r>
            <w:r>
              <w:rPr>
                <w:rFonts w:ascii="宋体" w:hAnsi="宋体" w:hint="eastAsia"/>
                <w:sz w:val="24"/>
                <w:szCs w:val="24"/>
              </w:rPr>
              <w:t>CPPIB</w:t>
            </w:r>
          </w:p>
        </w:tc>
        <w:tc>
          <w:tcPr>
            <w:tcW w:w="4794" w:type="dxa"/>
          </w:tcPr>
          <w:p w14:paraId="5D7B7B86" w14:textId="4D647B28" w:rsidR="00556F6E" w:rsidRPr="007D747A" w:rsidRDefault="00556F6E" w:rsidP="00556F6E">
            <w:pPr>
              <w:snapToGrid w:val="0"/>
              <w:rPr>
                <w:rFonts w:ascii="宋体" w:hAnsi="宋体"/>
                <w:sz w:val="24"/>
                <w:szCs w:val="24"/>
              </w:rPr>
            </w:pPr>
            <w:r>
              <w:rPr>
                <w:rFonts w:ascii="宋体" w:hAnsi="宋体" w:hint="eastAsia"/>
                <w:sz w:val="24"/>
                <w:szCs w:val="24"/>
              </w:rPr>
              <w:t>CPPIB于1997年12月18日成立于加拿大。CPPIB是一家专业投资管理机构，投资于公共股权、私募股权、不动产、基础设施和固定收益证券领域。</w:t>
            </w:r>
          </w:p>
          <w:p w14:paraId="2BF90E2F" w14:textId="77777777" w:rsidR="00556F6E" w:rsidRPr="007D747A" w:rsidRDefault="00556F6E" w:rsidP="00556F6E">
            <w:pPr>
              <w:snapToGrid w:val="0"/>
              <w:rPr>
                <w:rFonts w:ascii="宋体" w:hAnsi="宋体"/>
                <w:sz w:val="24"/>
                <w:szCs w:val="24"/>
              </w:rPr>
            </w:pPr>
          </w:p>
          <w:p w14:paraId="4013E377" w14:textId="239995D3" w:rsidR="00556F6E" w:rsidRPr="007D747A" w:rsidRDefault="00556F6E" w:rsidP="00556F6E">
            <w:pPr>
              <w:snapToGrid w:val="0"/>
              <w:rPr>
                <w:rFonts w:ascii="宋体" w:hAnsi="宋体"/>
                <w:sz w:val="24"/>
                <w:szCs w:val="24"/>
              </w:rPr>
            </w:pPr>
            <w:r>
              <w:rPr>
                <w:rFonts w:ascii="宋体" w:hAnsi="宋体" w:hint="eastAsia"/>
                <w:sz w:val="24"/>
                <w:szCs w:val="24"/>
              </w:rPr>
              <w:t>CPPIB无最终控制人。</w:t>
            </w:r>
          </w:p>
        </w:tc>
      </w:tr>
      <w:tr w:rsidR="00556F6E" w:rsidRPr="00A66496" w14:paraId="47B7BBFC" w14:textId="77777777" w:rsidTr="003269BC">
        <w:trPr>
          <w:trHeight w:val="170"/>
        </w:trPr>
        <w:tc>
          <w:tcPr>
            <w:tcW w:w="1838" w:type="dxa"/>
            <w:vMerge/>
            <w:tcBorders>
              <w:left w:val="single" w:sz="4" w:space="0" w:color="auto"/>
              <w:right w:val="single" w:sz="4" w:space="0" w:color="auto"/>
            </w:tcBorders>
            <w:shd w:val="clear" w:color="auto" w:fill="D9D9D9"/>
          </w:tcPr>
          <w:p w14:paraId="7C3E6D24" w14:textId="77777777" w:rsidR="00556F6E" w:rsidRPr="00A66496" w:rsidRDefault="00556F6E" w:rsidP="003231CB">
            <w:pPr>
              <w:snapToGrid w:val="0"/>
              <w:rPr>
                <w:rFonts w:ascii="宋体" w:hAnsi="宋体"/>
                <w:sz w:val="24"/>
                <w:szCs w:val="24"/>
              </w:rPr>
            </w:pPr>
          </w:p>
        </w:tc>
        <w:tc>
          <w:tcPr>
            <w:tcW w:w="2126" w:type="dxa"/>
            <w:tcBorders>
              <w:left w:val="single" w:sz="4" w:space="0" w:color="auto"/>
            </w:tcBorders>
          </w:tcPr>
          <w:p w14:paraId="01EDFF42" w14:textId="15A4A99B" w:rsidR="00556F6E" w:rsidRPr="007D747A" w:rsidRDefault="00556F6E" w:rsidP="00C67B7E">
            <w:pPr>
              <w:snapToGrid w:val="0"/>
              <w:jc w:val="left"/>
              <w:rPr>
                <w:rFonts w:ascii="宋体" w:hAnsi="宋体"/>
                <w:sz w:val="24"/>
                <w:szCs w:val="24"/>
              </w:rPr>
            </w:pPr>
            <w:r>
              <w:rPr>
                <w:rFonts w:ascii="宋体" w:hAnsi="宋体"/>
                <w:sz w:val="24"/>
                <w:szCs w:val="24"/>
              </w:rPr>
              <w:t>2.</w:t>
            </w:r>
            <w:r>
              <w:rPr>
                <w:rFonts w:ascii="宋体" w:hAnsi="宋体" w:hint="eastAsia"/>
                <w:sz w:val="24"/>
                <w:szCs w:val="24"/>
              </w:rPr>
              <w:t xml:space="preserve"> Ossa投资</w:t>
            </w:r>
          </w:p>
        </w:tc>
        <w:tc>
          <w:tcPr>
            <w:tcW w:w="4794" w:type="dxa"/>
          </w:tcPr>
          <w:p w14:paraId="00C6AFD0" w14:textId="13F881CB" w:rsidR="00556F6E" w:rsidRDefault="00CC1ED5" w:rsidP="00556F6E">
            <w:pPr>
              <w:snapToGrid w:val="0"/>
              <w:rPr>
                <w:rFonts w:ascii="宋体" w:hAnsi="宋体"/>
                <w:sz w:val="24"/>
                <w:szCs w:val="24"/>
              </w:rPr>
            </w:pPr>
            <w:r>
              <w:rPr>
                <w:rFonts w:ascii="宋体" w:hAnsi="宋体"/>
                <w:sz w:val="24"/>
                <w:szCs w:val="24"/>
              </w:rPr>
              <w:t>Ossa</w:t>
            </w:r>
            <w:r>
              <w:rPr>
                <w:rFonts w:ascii="宋体" w:hAnsi="宋体" w:hint="eastAsia"/>
                <w:sz w:val="24"/>
                <w:szCs w:val="24"/>
              </w:rPr>
              <w:t>投资于</w:t>
            </w:r>
            <w:r>
              <w:rPr>
                <w:rFonts w:ascii="宋体" w:hAnsi="宋体"/>
                <w:sz w:val="24"/>
                <w:szCs w:val="24"/>
              </w:rPr>
              <w:t>2012</w:t>
            </w:r>
            <w:r>
              <w:rPr>
                <w:rFonts w:ascii="宋体" w:hAnsi="宋体" w:hint="eastAsia"/>
                <w:sz w:val="24"/>
                <w:szCs w:val="24"/>
              </w:rPr>
              <w:t>年</w:t>
            </w:r>
            <w:r>
              <w:rPr>
                <w:rFonts w:ascii="宋体" w:hAnsi="宋体"/>
                <w:sz w:val="24"/>
                <w:szCs w:val="24"/>
              </w:rPr>
              <w:t>6</w:t>
            </w:r>
            <w:r>
              <w:rPr>
                <w:rFonts w:ascii="宋体" w:hAnsi="宋体" w:hint="eastAsia"/>
                <w:sz w:val="24"/>
                <w:szCs w:val="24"/>
              </w:rPr>
              <w:t>月</w:t>
            </w:r>
            <w:r>
              <w:rPr>
                <w:rFonts w:ascii="宋体" w:hAnsi="宋体"/>
                <w:sz w:val="24"/>
                <w:szCs w:val="24"/>
              </w:rPr>
              <w:t>21</w:t>
            </w:r>
            <w:r>
              <w:rPr>
                <w:rFonts w:ascii="宋体" w:hAnsi="宋体" w:hint="eastAsia"/>
                <w:sz w:val="24"/>
                <w:szCs w:val="24"/>
              </w:rPr>
              <w:t>日成立于新加坡。Ossa投资是一家投资控股公司，除投资控股之外不从事实质性业务运营。</w:t>
            </w:r>
          </w:p>
          <w:p w14:paraId="4852794F" w14:textId="77777777" w:rsidR="004E11C1" w:rsidRDefault="004E11C1" w:rsidP="00556F6E">
            <w:pPr>
              <w:snapToGrid w:val="0"/>
              <w:rPr>
                <w:rFonts w:ascii="宋体" w:hAnsi="宋体"/>
                <w:sz w:val="24"/>
                <w:szCs w:val="24"/>
              </w:rPr>
            </w:pPr>
          </w:p>
          <w:p w14:paraId="22664026" w14:textId="3F97F45B" w:rsidR="004E11C1" w:rsidRPr="007D747A" w:rsidRDefault="004E11C1" w:rsidP="00556F6E">
            <w:pPr>
              <w:snapToGrid w:val="0"/>
              <w:rPr>
                <w:rFonts w:ascii="宋体" w:hAnsi="宋体"/>
                <w:sz w:val="24"/>
                <w:szCs w:val="24"/>
              </w:rPr>
            </w:pPr>
            <w:r>
              <w:rPr>
                <w:rFonts w:ascii="宋体" w:hAnsi="宋体" w:hint="eastAsia"/>
                <w:sz w:val="24"/>
                <w:szCs w:val="24"/>
              </w:rPr>
              <w:t>Ossa投资的最终控制人为淡马锡。</w:t>
            </w:r>
            <w:r w:rsidR="0082019D" w:rsidRPr="0082019D">
              <w:rPr>
                <w:rFonts w:ascii="宋体" w:hAnsi="宋体" w:hint="eastAsia"/>
                <w:sz w:val="24"/>
                <w:szCs w:val="24"/>
              </w:rPr>
              <w:t>淡马锡成立于1974年，是一家总部位于新加坡的投资公司。淡马锡的全球投资组合涵盖广泛的行业领域：交通与工业、金融服务、电信、媒体与科技、消费与房地产</w:t>
            </w:r>
            <w:r w:rsidR="00197113">
              <w:rPr>
                <w:rFonts w:ascii="宋体" w:hAnsi="宋体" w:hint="eastAsia"/>
                <w:sz w:val="24"/>
                <w:szCs w:val="24"/>
              </w:rPr>
              <w:t>以及</w:t>
            </w:r>
            <w:r w:rsidR="0082019D" w:rsidRPr="0082019D">
              <w:rPr>
                <w:rFonts w:ascii="宋体" w:hAnsi="宋体" w:hint="eastAsia"/>
                <w:sz w:val="24"/>
                <w:szCs w:val="24"/>
              </w:rPr>
              <w:t>生命科学与综合农业</w:t>
            </w:r>
            <w:r w:rsidR="0082019D">
              <w:rPr>
                <w:rFonts w:ascii="宋体" w:hAnsi="宋体" w:hint="eastAsia"/>
                <w:sz w:val="24"/>
                <w:szCs w:val="24"/>
              </w:rPr>
              <w:t>。</w:t>
            </w:r>
          </w:p>
        </w:tc>
      </w:tr>
      <w:tr w:rsidR="00556F6E" w:rsidRPr="00A66496" w14:paraId="4B8B1ACA" w14:textId="77777777" w:rsidTr="003269BC">
        <w:trPr>
          <w:trHeight w:val="170"/>
        </w:trPr>
        <w:tc>
          <w:tcPr>
            <w:tcW w:w="1838" w:type="dxa"/>
            <w:vMerge/>
            <w:tcBorders>
              <w:left w:val="single" w:sz="4" w:space="0" w:color="auto"/>
              <w:right w:val="single" w:sz="4" w:space="0" w:color="auto"/>
            </w:tcBorders>
            <w:shd w:val="clear" w:color="auto" w:fill="D9D9D9"/>
          </w:tcPr>
          <w:p w14:paraId="6C45C3FD" w14:textId="77777777" w:rsidR="00556F6E" w:rsidRPr="00A66496" w:rsidRDefault="00556F6E" w:rsidP="003231CB">
            <w:pPr>
              <w:snapToGrid w:val="0"/>
              <w:rPr>
                <w:rFonts w:ascii="宋体" w:hAnsi="宋体"/>
                <w:sz w:val="24"/>
                <w:szCs w:val="24"/>
              </w:rPr>
            </w:pPr>
          </w:p>
        </w:tc>
        <w:tc>
          <w:tcPr>
            <w:tcW w:w="2126" w:type="dxa"/>
            <w:tcBorders>
              <w:left w:val="single" w:sz="4" w:space="0" w:color="auto"/>
            </w:tcBorders>
          </w:tcPr>
          <w:p w14:paraId="4B7CB546" w14:textId="35C16DFF" w:rsidR="00556F6E" w:rsidRPr="007D747A" w:rsidRDefault="00556F6E" w:rsidP="00C67B7E">
            <w:pPr>
              <w:snapToGrid w:val="0"/>
              <w:jc w:val="left"/>
              <w:rPr>
                <w:rFonts w:ascii="宋体" w:hAnsi="宋体"/>
                <w:sz w:val="24"/>
                <w:szCs w:val="24"/>
              </w:rPr>
            </w:pPr>
            <w:r>
              <w:rPr>
                <w:rFonts w:ascii="宋体" w:hAnsi="宋体" w:hint="eastAsia"/>
                <w:sz w:val="24"/>
                <w:szCs w:val="24"/>
              </w:rPr>
              <w:t>3. CDPQ</w:t>
            </w:r>
          </w:p>
        </w:tc>
        <w:tc>
          <w:tcPr>
            <w:tcW w:w="4794" w:type="dxa"/>
          </w:tcPr>
          <w:p w14:paraId="1DB55F1B" w14:textId="1AEDFD98" w:rsidR="00556F6E" w:rsidRPr="007D747A" w:rsidRDefault="00556F6E" w:rsidP="00556F6E">
            <w:pPr>
              <w:snapToGrid w:val="0"/>
              <w:rPr>
                <w:rFonts w:ascii="宋体" w:hAnsi="宋体"/>
                <w:sz w:val="24"/>
                <w:szCs w:val="24"/>
              </w:rPr>
            </w:pPr>
            <w:r>
              <w:rPr>
                <w:rFonts w:ascii="宋体" w:hAnsi="宋体" w:hint="eastAsia"/>
                <w:sz w:val="24"/>
                <w:szCs w:val="24"/>
              </w:rPr>
              <w:t>CDPQ于1965年7月15日设立于加拿大魁北克省。CDPQ是一家长期机构投资者，主要管理魁北克公共和准公共养老金及保险计划的资金。CDPQ在全球范围内将资金投资于三种主要资产类型：股票、固定收益和不动产。</w:t>
            </w:r>
          </w:p>
          <w:p w14:paraId="6F9325D0" w14:textId="41A444B5" w:rsidR="00556F6E" w:rsidRPr="007D747A" w:rsidRDefault="00556F6E" w:rsidP="00556F6E">
            <w:pPr>
              <w:snapToGrid w:val="0"/>
              <w:rPr>
                <w:rFonts w:ascii="宋体" w:hAnsi="宋体"/>
                <w:sz w:val="24"/>
                <w:szCs w:val="24"/>
              </w:rPr>
            </w:pPr>
          </w:p>
          <w:p w14:paraId="0A431BB8" w14:textId="7B1E932C" w:rsidR="00556F6E" w:rsidRPr="007D747A" w:rsidRDefault="00556F6E" w:rsidP="00556F6E">
            <w:pPr>
              <w:snapToGrid w:val="0"/>
              <w:rPr>
                <w:rFonts w:ascii="宋体" w:hAnsi="宋体"/>
                <w:sz w:val="24"/>
                <w:szCs w:val="24"/>
              </w:rPr>
            </w:pPr>
            <w:r>
              <w:rPr>
                <w:rFonts w:ascii="宋体" w:hAnsi="宋体" w:hint="eastAsia"/>
                <w:sz w:val="24"/>
                <w:szCs w:val="24"/>
              </w:rPr>
              <w:t>CDPQ无最终控制人。</w:t>
            </w:r>
          </w:p>
        </w:tc>
      </w:tr>
      <w:tr w:rsidR="00556F6E" w:rsidRPr="00A66496" w14:paraId="1F42597B" w14:textId="77777777" w:rsidTr="003269BC">
        <w:trPr>
          <w:trHeight w:val="170"/>
        </w:trPr>
        <w:tc>
          <w:tcPr>
            <w:tcW w:w="1838" w:type="dxa"/>
            <w:vMerge/>
            <w:tcBorders>
              <w:left w:val="single" w:sz="4" w:space="0" w:color="auto"/>
              <w:right w:val="single" w:sz="4" w:space="0" w:color="auto"/>
            </w:tcBorders>
            <w:shd w:val="clear" w:color="auto" w:fill="D9D9D9"/>
          </w:tcPr>
          <w:p w14:paraId="1DB0AF56" w14:textId="77777777" w:rsidR="00556F6E" w:rsidRPr="00A66496" w:rsidRDefault="00556F6E" w:rsidP="003231CB">
            <w:pPr>
              <w:snapToGrid w:val="0"/>
              <w:rPr>
                <w:rFonts w:ascii="宋体" w:hAnsi="宋体"/>
                <w:sz w:val="24"/>
                <w:szCs w:val="24"/>
              </w:rPr>
            </w:pPr>
          </w:p>
        </w:tc>
        <w:tc>
          <w:tcPr>
            <w:tcW w:w="2126" w:type="dxa"/>
            <w:tcBorders>
              <w:left w:val="single" w:sz="4" w:space="0" w:color="auto"/>
            </w:tcBorders>
          </w:tcPr>
          <w:p w14:paraId="1E433D80" w14:textId="6A8BD2E8" w:rsidR="00556F6E" w:rsidRPr="007D747A" w:rsidRDefault="00556F6E" w:rsidP="00C67B7E">
            <w:pPr>
              <w:snapToGrid w:val="0"/>
              <w:jc w:val="left"/>
              <w:rPr>
                <w:rFonts w:ascii="宋体" w:hAnsi="宋体"/>
                <w:sz w:val="24"/>
                <w:szCs w:val="24"/>
              </w:rPr>
            </w:pPr>
            <w:r>
              <w:rPr>
                <w:rFonts w:ascii="宋体" w:hAnsi="宋体" w:hint="eastAsia"/>
                <w:sz w:val="24"/>
                <w:szCs w:val="24"/>
              </w:rPr>
              <w:t>4. GIM</w:t>
            </w:r>
          </w:p>
        </w:tc>
        <w:tc>
          <w:tcPr>
            <w:tcW w:w="4794" w:type="dxa"/>
          </w:tcPr>
          <w:p w14:paraId="3524F821" w14:textId="77F68B6D" w:rsidR="00556F6E" w:rsidRPr="007D747A" w:rsidRDefault="00556F6E" w:rsidP="00556F6E">
            <w:pPr>
              <w:snapToGrid w:val="0"/>
              <w:rPr>
                <w:rFonts w:ascii="宋体" w:hAnsi="宋体"/>
                <w:sz w:val="24"/>
                <w:szCs w:val="24"/>
              </w:rPr>
            </w:pPr>
            <w:r>
              <w:rPr>
                <w:rFonts w:ascii="宋体" w:hAnsi="宋体" w:hint="eastAsia"/>
                <w:sz w:val="24"/>
                <w:szCs w:val="24"/>
              </w:rPr>
              <w:t>GIM于2004年4月5日成立于英国。GIM是一家专注于可持续投资管理业务的公司。</w:t>
            </w:r>
          </w:p>
          <w:p w14:paraId="3E99FA18" w14:textId="77777777" w:rsidR="00556F6E" w:rsidRPr="007D747A" w:rsidRDefault="00556F6E" w:rsidP="00556F6E">
            <w:pPr>
              <w:snapToGrid w:val="0"/>
              <w:rPr>
                <w:rFonts w:ascii="宋体" w:hAnsi="宋体"/>
                <w:sz w:val="24"/>
                <w:szCs w:val="24"/>
              </w:rPr>
            </w:pPr>
          </w:p>
          <w:p w14:paraId="149B2760" w14:textId="15EA5B77" w:rsidR="00556F6E" w:rsidRPr="007D747A" w:rsidRDefault="00556F6E" w:rsidP="00556F6E">
            <w:pPr>
              <w:snapToGrid w:val="0"/>
              <w:rPr>
                <w:rFonts w:ascii="宋体" w:hAnsi="宋体"/>
                <w:sz w:val="24"/>
                <w:szCs w:val="24"/>
              </w:rPr>
            </w:pPr>
            <w:r>
              <w:rPr>
                <w:rFonts w:ascii="宋体" w:hAnsi="宋体" w:hint="eastAsia"/>
                <w:sz w:val="24"/>
                <w:szCs w:val="24"/>
              </w:rPr>
              <w:lastRenderedPageBreak/>
              <w:t>GIM无最终控制人。</w:t>
            </w:r>
          </w:p>
        </w:tc>
      </w:tr>
      <w:tr w:rsidR="00556F6E" w:rsidRPr="00A66496" w14:paraId="4A8B29B5" w14:textId="77777777" w:rsidTr="003269BC">
        <w:trPr>
          <w:trHeight w:val="170"/>
        </w:trPr>
        <w:tc>
          <w:tcPr>
            <w:tcW w:w="1838" w:type="dxa"/>
            <w:vMerge/>
            <w:tcBorders>
              <w:left w:val="single" w:sz="4" w:space="0" w:color="auto"/>
              <w:right w:val="single" w:sz="4" w:space="0" w:color="auto"/>
            </w:tcBorders>
            <w:shd w:val="clear" w:color="auto" w:fill="D9D9D9"/>
          </w:tcPr>
          <w:p w14:paraId="4BC6F2BC" w14:textId="77777777" w:rsidR="00556F6E" w:rsidRPr="00A66496" w:rsidRDefault="00556F6E" w:rsidP="003231CB">
            <w:pPr>
              <w:snapToGrid w:val="0"/>
              <w:rPr>
                <w:rFonts w:ascii="宋体" w:hAnsi="宋体"/>
                <w:sz w:val="24"/>
                <w:szCs w:val="24"/>
              </w:rPr>
            </w:pPr>
          </w:p>
        </w:tc>
        <w:tc>
          <w:tcPr>
            <w:tcW w:w="2126" w:type="dxa"/>
            <w:tcBorders>
              <w:left w:val="single" w:sz="4" w:space="0" w:color="auto"/>
            </w:tcBorders>
          </w:tcPr>
          <w:p w14:paraId="2A5AF94F" w14:textId="61753671" w:rsidR="00556F6E" w:rsidRPr="007D747A" w:rsidRDefault="00556F6E" w:rsidP="00C67B7E">
            <w:pPr>
              <w:snapToGrid w:val="0"/>
              <w:jc w:val="left"/>
              <w:rPr>
                <w:rFonts w:ascii="宋体" w:hAnsi="宋体"/>
                <w:sz w:val="24"/>
                <w:szCs w:val="24"/>
              </w:rPr>
            </w:pPr>
            <w:r>
              <w:rPr>
                <w:rFonts w:ascii="宋体" w:hAnsi="宋体" w:hint="eastAsia"/>
                <w:sz w:val="24"/>
                <w:szCs w:val="24"/>
              </w:rPr>
              <w:t>5. 目标公司</w:t>
            </w:r>
          </w:p>
        </w:tc>
        <w:tc>
          <w:tcPr>
            <w:tcW w:w="4794" w:type="dxa"/>
          </w:tcPr>
          <w:p w14:paraId="130BB519" w14:textId="715E23D5" w:rsidR="00556F6E" w:rsidRPr="007D747A" w:rsidRDefault="00556F6E" w:rsidP="00B30586">
            <w:pPr>
              <w:snapToGrid w:val="0"/>
              <w:rPr>
                <w:rFonts w:ascii="宋体" w:hAnsi="宋体"/>
                <w:sz w:val="24"/>
                <w:szCs w:val="24"/>
              </w:rPr>
            </w:pPr>
            <w:r>
              <w:rPr>
                <w:rFonts w:ascii="宋体" w:hAnsi="宋体" w:hint="eastAsia"/>
                <w:sz w:val="24"/>
                <w:szCs w:val="24"/>
              </w:rPr>
              <w:t>目标公司于2022年8月31日成立于新西兰。目标公司是一家向银行和证券业提供信息技术服务的金融软件及其服务供应商。</w:t>
            </w:r>
          </w:p>
          <w:p w14:paraId="3AD1793A" w14:textId="77777777" w:rsidR="00B30586" w:rsidRPr="007D747A" w:rsidRDefault="00B30586" w:rsidP="00B30586">
            <w:pPr>
              <w:snapToGrid w:val="0"/>
              <w:rPr>
                <w:rFonts w:ascii="宋体" w:hAnsi="宋体"/>
                <w:sz w:val="24"/>
                <w:szCs w:val="24"/>
              </w:rPr>
            </w:pPr>
          </w:p>
          <w:p w14:paraId="7F1B0491" w14:textId="37172D9D" w:rsidR="00556F6E" w:rsidRPr="007D747A" w:rsidRDefault="00B30586" w:rsidP="00B30586">
            <w:pPr>
              <w:snapToGrid w:val="0"/>
              <w:rPr>
                <w:rFonts w:ascii="宋体" w:hAnsi="宋体"/>
                <w:sz w:val="24"/>
                <w:szCs w:val="24"/>
              </w:rPr>
            </w:pPr>
            <w:r>
              <w:rPr>
                <w:rFonts w:ascii="宋体" w:hAnsi="宋体" w:hint="eastAsia"/>
                <w:sz w:val="24"/>
                <w:szCs w:val="24"/>
              </w:rPr>
              <w:t>目标公司的最终控制人为CDPQ和GIM。CDPQ和GIM的简介见上文。</w:t>
            </w:r>
          </w:p>
        </w:tc>
      </w:tr>
      <w:tr w:rsidR="008702FE" w:rsidRPr="00A66496" w14:paraId="75FF9FF3" w14:textId="77777777" w:rsidTr="003269BC">
        <w:trPr>
          <w:trHeight w:val="279"/>
        </w:trPr>
        <w:tc>
          <w:tcPr>
            <w:tcW w:w="1838"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EB39CA5" w14:textId="4BC81606" w:rsidR="008702FE" w:rsidRPr="00A66496" w:rsidRDefault="008702FE" w:rsidP="003231CB">
            <w:pPr>
              <w:snapToGrid w:val="0"/>
              <w:rPr>
                <w:rFonts w:ascii="宋体" w:hAnsi="宋体"/>
                <w:sz w:val="24"/>
                <w:szCs w:val="24"/>
              </w:rPr>
            </w:pPr>
            <w:r>
              <w:rPr>
                <w:rFonts w:ascii="宋体" w:hAnsi="宋体"/>
                <w:color w:val="333333"/>
                <w:kern w:val="0"/>
                <w:sz w:val="24"/>
                <w:szCs w:val="24"/>
              </w:rPr>
              <w:t>简易案件理由（可以单选，也可以多选）</w:t>
            </w:r>
          </w:p>
        </w:tc>
        <w:tc>
          <w:tcPr>
            <w:tcW w:w="6920" w:type="dxa"/>
            <w:gridSpan w:val="2"/>
          </w:tcPr>
          <w:p w14:paraId="7B8D4792" w14:textId="780F5AEB" w:rsidR="008702FE" w:rsidRPr="00A66496" w:rsidRDefault="008702FE" w:rsidP="003231CB">
            <w:pPr>
              <w:snapToGrid w:val="0"/>
              <w:rPr>
                <w:rFonts w:ascii="宋体" w:hAnsi="宋体"/>
                <w:sz w:val="24"/>
                <w:szCs w:val="24"/>
              </w:rPr>
            </w:pPr>
            <w:r>
              <w:rPr>
                <w:rFonts w:ascii="宋体" w:hAnsi="宋体"/>
                <w:sz w:val="24"/>
                <w:szCs w:val="24"/>
              </w:rPr>
              <w:t xml:space="preserve">□1. </w:t>
            </w:r>
            <w:r>
              <w:rPr>
                <w:rFonts w:ascii="宋体" w:hAnsi="宋体" w:hint="eastAsia"/>
                <w:sz w:val="24"/>
                <w:szCs w:val="24"/>
              </w:rPr>
              <w:t>在同一相关市场，参与集中的经营者所占的市场份额之和小于15%</w:t>
            </w:r>
            <w:r>
              <w:rPr>
                <w:rFonts w:ascii="宋体" w:hAnsi="宋体"/>
                <w:sz w:val="24"/>
                <w:szCs w:val="24"/>
              </w:rPr>
              <w:t>。</w:t>
            </w:r>
          </w:p>
        </w:tc>
      </w:tr>
      <w:tr w:rsidR="008702FE" w:rsidRPr="00A66496" w14:paraId="133BF152" w14:textId="77777777" w:rsidTr="003269BC">
        <w:trPr>
          <w:trHeight w:val="330"/>
        </w:trPr>
        <w:tc>
          <w:tcPr>
            <w:tcW w:w="1838" w:type="dxa"/>
            <w:vMerge/>
            <w:shd w:val="clear" w:color="auto" w:fill="D9D9D9"/>
          </w:tcPr>
          <w:p w14:paraId="6AA82D7A" w14:textId="77777777" w:rsidR="008702FE" w:rsidRPr="00A66496" w:rsidRDefault="008702FE" w:rsidP="003231CB">
            <w:pPr>
              <w:snapToGrid w:val="0"/>
              <w:rPr>
                <w:rFonts w:ascii="宋体" w:hAnsi="宋体"/>
                <w:sz w:val="24"/>
                <w:szCs w:val="24"/>
              </w:rPr>
            </w:pPr>
          </w:p>
        </w:tc>
        <w:tc>
          <w:tcPr>
            <w:tcW w:w="6920" w:type="dxa"/>
            <w:gridSpan w:val="2"/>
          </w:tcPr>
          <w:p w14:paraId="50E5996E" w14:textId="4A171669" w:rsidR="008702FE" w:rsidRPr="00A66496" w:rsidRDefault="008702FE" w:rsidP="003231CB">
            <w:pPr>
              <w:snapToGrid w:val="0"/>
              <w:rPr>
                <w:rFonts w:ascii="宋体" w:hAnsi="宋体"/>
                <w:sz w:val="24"/>
                <w:szCs w:val="24"/>
              </w:rPr>
            </w:pPr>
            <w:r>
              <w:rPr>
                <w:rFonts w:ascii="宋体" w:hAnsi="宋体"/>
                <w:sz w:val="24"/>
                <w:szCs w:val="24"/>
              </w:rPr>
              <w:t xml:space="preserve">□2. </w:t>
            </w:r>
            <w:r>
              <w:rPr>
                <w:rFonts w:ascii="宋体" w:hAnsi="宋体" w:hint="eastAsia"/>
                <w:sz w:val="24"/>
                <w:szCs w:val="24"/>
              </w:rPr>
              <w:t>在上下游市场，参与集中的经营者所占的市场份额均小于25%</w:t>
            </w:r>
            <w:r>
              <w:rPr>
                <w:rFonts w:ascii="宋体" w:hAnsi="宋体"/>
                <w:sz w:val="24"/>
                <w:szCs w:val="24"/>
              </w:rPr>
              <w:t>。</w:t>
            </w:r>
          </w:p>
        </w:tc>
      </w:tr>
      <w:tr w:rsidR="008702FE" w:rsidRPr="00A66496" w14:paraId="47AF3B3F" w14:textId="77777777" w:rsidTr="003269BC">
        <w:trPr>
          <w:trHeight w:val="285"/>
        </w:trPr>
        <w:tc>
          <w:tcPr>
            <w:tcW w:w="1838" w:type="dxa"/>
            <w:vMerge/>
            <w:shd w:val="clear" w:color="auto" w:fill="D9D9D9"/>
          </w:tcPr>
          <w:p w14:paraId="7DA5A0E4" w14:textId="77777777" w:rsidR="008702FE" w:rsidRPr="00A66496" w:rsidRDefault="008702FE" w:rsidP="003231CB">
            <w:pPr>
              <w:snapToGrid w:val="0"/>
              <w:rPr>
                <w:rFonts w:ascii="宋体" w:hAnsi="宋体"/>
                <w:sz w:val="24"/>
                <w:szCs w:val="24"/>
              </w:rPr>
            </w:pPr>
          </w:p>
        </w:tc>
        <w:tc>
          <w:tcPr>
            <w:tcW w:w="6920" w:type="dxa"/>
            <w:gridSpan w:val="2"/>
          </w:tcPr>
          <w:p w14:paraId="561A3D51" w14:textId="54C3A2C8" w:rsidR="008702FE" w:rsidRPr="00A66496" w:rsidRDefault="008702FE" w:rsidP="00977CC5">
            <w:pPr>
              <w:snapToGrid w:val="0"/>
              <w:rPr>
                <w:rFonts w:ascii="宋体" w:hAnsi="宋体"/>
                <w:sz w:val="24"/>
                <w:szCs w:val="24"/>
              </w:rPr>
            </w:pPr>
            <w:r>
              <w:rPr>
                <w:rFonts w:ascii="宋体" w:hAnsi="宋体"/>
                <w:sz w:val="24"/>
                <w:szCs w:val="24"/>
              </w:rPr>
              <w:t xml:space="preserve">□3. </w:t>
            </w:r>
            <w:r>
              <w:rPr>
                <w:rFonts w:ascii="宋体" w:hAnsi="宋体" w:hint="eastAsia"/>
                <w:sz w:val="24"/>
                <w:szCs w:val="24"/>
              </w:rPr>
              <w:t>不在同一相关市场也不存在上下游关系的参与集中的经营者，在与交易有关的每个市场所占的市场份额均小于25%</w:t>
            </w:r>
            <w:r>
              <w:rPr>
                <w:rFonts w:ascii="宋体" w:hAnsi="宋体"/>
                <w:sz w:val="24"/>
                <w:szCs w:val="24"/>
              </w:rPr>
              <w:t>。</w:t>
            </w:r>
          </w:p>
        </w:tc>
      </w:tr>
      <w:tr w:rsidR="008702FE" w:rsidRPr="00A66496" w14:paraId="6801D3B3" w14:textId="77777777" w:rsidTr="003269BC">
        <w:trPr>
          <w:trHeight w:val="699"/>
        </w:trPr>
        <w:tc>
          <w:tcPr>
            <w:tcW w:w="1838" w:type="dxa"/>
            <w:vMerge/>
            <w:shd w:val="clear" w:color="auto" w:fill="D9D9D9"/>
          </w:tcPr>
          <w:p w14:paraId="2880AC2A" w14:textId="77777777" w:rsidR="008702FE" w:rsidRPr="00A66496" w:rsidRDefault="008702FE" w:rsidP="003231CB">
            <w:pPr>
              <w:snapToGrid w:val="0"/>
              <w:rPr>
                <w:rFonts w:ascii="宋体" w:hAnsi="宋体"/>
                <w:sz w:val="24"/>
                <w:szCs w:val="24"/>
              </w:rPr>
            </w:pPr>
          </w:p>
        </w:tc>
        <w:tc>
          <w:tcPr>
            <w:tcW w:w="6920" w:type="dxa"/>
            <w:gridSpan w:val="2"/>
          </w:tcPr>
          <w:p w14:paraId="6B599DA6" w14:textId="19D94865" w:rsidR="008702FE" w:rsidRPr="00A66496" w:rsidRDefault="008702FE" w:rsidP="00977CC5">
            <w:pPr>
              <w:snapToGrid w:val="0"/>
              <w:rPr>
                <w:rFonts w:ascii="宋体" w:hAnsi="宋体"/>
                <w:bCs/>
                <w:sz w:val="24"/>
                <w:szCs w:val="24"/>
              </w:rPr>
            </w:pPr>
            <w:r>
              <w:rPr>
                <w:rFonts w:ascii="宋体" w:hAnsi="宋体"/>
                <w:sz w:val="24"/>
                <w:szCs w:val="24"/>
              </w:rPr>
              <w:t>□</w:t>
            </w:r>
            <w:r>
              <w:rPr>
                <w:rFonts w:ascii="宋体" w:hAnsi="宋体"/>
                <w:bCs/>
                <w:sz w:val="24"/>
                <w:szCs w:val="24"/>
              </w:rPr>
              <w:t xml:space="preserve">4. </w:t>
            </w:r>
            <w:r>
              <w:rPr>
                <w:rFonts w:ascii="宋体" w:hAnsi="宋体" w:hint="eastAsia"/>
                <w:bCs/>
                <w:sz w:val="24"/>
                <w:szCs w:val="24"/>
              </w:rPr>
              <w:t>参与集中的经营者在中国境外设立合营企业，合营企业不在中国境内从事经济活动</w:t>
            </w:r>
            <w:r>
              <w:rPr>
                <w:rFonts w:ascii="宋体" w:hAnsi="宋体"/>
                <w:bCs/>
                <w:sz w:val="24"/>
                <w:szCs w:val="24"/>
              </w:rPr>
              <w:t>。</w:t>
            </w:r>
          </w:p>
        </w:tc>
      </w:tr>
      <w:tr w:rsidR="008702FE" w:rsidRPr="00A66496" w14:paraId="2B0B3023" w14:textId="77777777" w:rsidTr="003269BC">
        <w:trPr>
          <w:trHeight w:val="264"/>
        </w:trPr>
        <w:tc>
          <w:tcPr>
            <w:tcW w:w="1838" w:type="dxa"/>
            <w:vMerge/>
            <w:shd w:val="clear" w:color="auto" w:fill="D9D9D9"/>
          </w:tcPr>
          <w:p w14:paraId="29237789" w14:textId="77777777" w:rsidR="008702FE" w:rsidRPr="00A66496" w:rsidRDefault="008702FE" w:rsidP="003231CB">
            <w:pPr>
              <w:snapToGrid w:val="0"/>
              <w:rPr>
                <w:rFonts w:ascii="宋体" w:hAnsi="宋体"/>
                <w:sz w:val="24"/>
                <w:szCs w:val="24"/>
              </w:rPr>
            </w:pPr>
          </w:p>
        </w:tc>
        <w:tc>
          <w:tcPr>
            <w:tcW w:w="6920" w:type="dxa"/>
            <w:gridSpan w:val="2"/>
          </w:tcPr>
          <w:p w14:paraId="50AD7FC3" w14:textId="466B7C26" w:rsidR="008702FE" w:rsidRPr="00A66496" w:rsidRDefault="008702FE" w:rsidP="00977CC5">
            <w:pPr>
              <w:snapToGrid w:val="0"/>
              <w:rPr>
                <w:rFonts w:ascii="宋体" w:hAnsi="宋体"/>
                <w:sz w:val="24"/>
                <w:szCs w:val="24"/>
              </w:rPr>
            </w:pPr>
            <w:r>
              <w:rPr>
                <w:rFonts w:ascii="宋体" w:hAnsi="宋体"/>
                <w:sz w:val="24"/>
                <w:szCs w:val="24"/>
              </w:rPr>
              <w:sym w:font="Wingdings" w:char="F0FE"/>
            </w:r>
            <w:r>
              <w:rPr>
                <w:rFonts w:ascii="宋体" w:hAnsi="宋体"/>
                <w:sz w:val="24"/>
                <w:szCs w:val="24"/>
              </w:rPr>
              <w:t xml:space="preserve">5. </w:t>
            </w:r>
            <w:r>
              <w:rPr>
                <w:rFonts w:ascii="宋体" w:hAnsi="宋体" w:hint="eastAsia"/>
                <w:sz w:val="24"/>
                <w:szCs w:val="24"/>
              </w:rPr>
              <w:t>参与集中的经营者收购境外企业股权或资产的，该境外企业不在中国境内从事经济活动。</w:t>
            </w:r>
          </w:p>
        </w:tc>
      </w:tr>
      <w:tr w:rsidR="008702FE" w:rsidRPr="00A66496" w14:paraId="61B008FE" w14:textId="77777777" w:rsidTr="003269BC">
        <w:trPr>
          <w:trHeight w:val="345"/>
        </w:trPr>
        <w:tc>
          <w:tcPr>
            <w:tcW w:w="1838" w:type="dxa"/>
            <w:vMerge/>
            <w:shd w:val="clear" w:color="auto" w:fill="D9D9D9"/>
          </w:tcPr>
          <w:p w14:paraId="67426F73" w14:textId="77777777" w:rsidR="008702FE" w:rsidRPr="00A66496" w:rsidRDefault="008702FE" w:rsidP="003231CB">
            <w:pPr>
              <w:snapToGrid w:val="0"/>
              <w:rPr>
                <w:rFonts w:ascii="宋体" w:hAnsi="宋体"/>
                <w:sz w:val="24"/>
                <w:szCs w:val="24"/>
              </w:rPr>
            </w:pPr>
          </w:p>
        </w:tc>
        <w:tc>
          <w:tcPr>
            <w:tcW w:w="6920" w:type="dxa"/>
            <w:gridSpan w:val="2"/>
          </w:tcPr>
          <w:p w14:paraId="7ABA8C94" w14:textId="25A8E1B8" w:rsidR="008702FE" w:rsidRPr="00A66496" w:rsidRDefault="008702FE" w:rsidP="00977CC5">
            <w:pPr>
              <w:snapToGrid w:val="0"/>
              <w:rPr>
                <w:rFonts w:ascii="宋体" w:hAnsi="宋体"/>
                <w:sz w:val="24"/>
                <w:szCs w:val="24"/>
              </w:rPr>
            </w:pPr>
            <w:r>
              <w:rPr>
                <w:rFonts w:ascii="宋体" w:hAnsi="宋体"/>
                <w:sz w:val="24"/>
                <w:szCs w:val="24"/>
              </w:rPr>
              <w:t xml:space="preserve">□6. </w:t>
            </w:r>
            <w:r>
              <w:rPr>
                <w:rFonts w:ascii="宋体" w:hAnsi="宋体" w:hint="eastAsia"/>
                <w:sz w:val="24"/>
                <w:szCs w:val="24"/>
              </w:rPr>
              <w:t>由两个以上的经营者共同控制的合营企业，通过集中被其中一个或一个以上经营者控制</w:t>
            </w:r>
            <w:r>
              <w:rPr>
                <w:rFonts w:ascii="宋体" w:hAnsi="宋体"/>
                <w:sz w:val="24"/>
                <w:szCs w:val="24"/>
              </w:rPr>
              <w:t>。</w:t>
            </w:r>
          </w:p>
        </w:tc>
      </w:tr>
      <w:tr w:rsidR="008702FE" w:rsidRPr="00A66496" w14:paraId="4F7BEE97" w14:textId="77777777" w:rsidTr="003269BC">
        <w:tc>
          <w:tcPr>
            <w:tcW w:w="1838" w:type="dxa"/>
            <w:shd w:val="clear" w:color="auto" w:fill="D9D9D9"/>
          </w:tcPr>
          <w:p w14:paraId="3955E299" w14:textId="4F3B110B" w:rsidR="008702FE" w:rsidRPr="00A66496" w:rsidRDefault="008702FE" w:rsidP="003231CB">
            <w:pPr>
              <w:snapToGrid w:val="0"/>
              <w:rPr>
                <w:rFonts w:ascii="宋体" w:hAnsi="宋体"/>
                <w:sz w:val="24"/>
                <w:szCs w:val="24"/>
              </w:rPr>
            </w:pPr>
            <w:r>
              <w:rPr>
                <w:rFonts w:ascii="宋体" w:hAnsi="宋体"/>
                <w:sz w:val="24"/>
                <w:szCs w:val="24"/>
              </w:rPr>
              <w:t>备注</w:t>
            </w:r>
          </w:p>
        </w:tc>
        <w:tc>
          <w:tcPr>
            <w:tcW w:w="6920" w:type="dxa"/>
            <w:gridSpan w:val="2"/>
          </w:tcPr>
          <w:p w14:paraId="2EE2D7C2" w14:textId="0D7884BE" w:rsidR="008702FE" w:rsidRPr="00A66496" w:rsidRDefault="00556F6E" w:rsidP="00977CC5">
            <w:pPr>
              <w:adjustRightInd w:val="0"/>
              <w:snapToGrid w:val="0"/>
              <w:rPr>
                <w:rFonts w:ascii="宋体" w:hAnsi="宋体"/>
                <w:bCs/>
                <w:color w:val="000000"/>
                <w:sz w:val="24"/>
                <w:szCs w:val="24"/>
              </w:rPr>
            </w:pPr>
            <w:r>
              <w:rPr>
                <w:rFonts w:ascii="宋体" w:hAnsi="宋体" w:hint="eastAsia"/>
                <w:bCs/>
                <w:color w:val="000000"/>
                <w:sz w:val="24"/>
                <w:szCs w:val="24"/>
              </w:rPr>
              <w:t>不适用</w:t>
            </w:r>
          </w:p>
        </w:tc>
      </w:tr>
    </w:tbl>
    <w:p w14:paraId="70C98F55" w14:textId="77777777" w:rsidR="00B27B0C" w:rsidRPr="00B945D9" w:rsidRDefault="00B27B0C" w:rsidP="00642395">
      <w:pPr>
        <w:pStyle w:val="EndnoteText"/>
        <w:rPr>
          <w:rFonts w:ascii="Times New Roman" w:hAnsi="Times New Roman"/>
          <w:sz w:val="24"/>
          <w:szCs w:val="24"/>
        </w:rPr>
      </w:pPr>
    </w:p>
    <w:p w14:paraId="28F6AF10" w14:textId="77777777" w:rsidR="008A174C" w:rsidRDefault="008A174C">
      <w:pPr>
        <w:rPr>
          <w:sz w:val="24"/>
        </w:rPr>
      </w:pPr>
    </w:p>
    <w:sectPr w:rsidR="008A174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E718E" w14:textId="77777777" w:rsidR="007C45F8" w:rsidRDefault="007C45F8" w:rsidP="008D4C61">
      <w:r>
        <w:separator/>
      </w:r>
    </w:p>
  </w:endnote>
  <w:endnote w:type="continuationSeparator" w:id="0">
    <w:p w14:paraId="0AE05EE2" w14:textId="77777777" w:rsidR="007C45F8" w:rsidRDefault="007C45F8" w:rsidP="008D4C61">
      <w:r>
        <w:continuationSeparator/>
      </w:r>
    </w:p>
  </w:endnote>
  <w:endnote w:type="continuationNotice" w:id="1">
    <w:p w14:paraId="34AAEB61" w14:textId="77777777" w:rsidR="007C45F8" w:rsidRDefault="007C45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微软雅黑"/>
    <w:panose1 w:val="02010609030101010101"/>
    <w:charset w:val="86"/>
    <w:family w:val="modern"/>
    <w:pitch w:val="fixed"/>
    <w:sig w:usb0="00000001" w:usb1="080E0000" w:usb2="00000010" w:usb3="00000000" w:csb0="00040000" w:csb1="00000000"/>
  </w:font>
  <w:font w:name="华文楷体">
    <w:altName w:val="STKait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A296B" w14:textId="77777777" w:rsidR="007C45F8" w:rsidRDefault="007C45F8" w:rsidP="008D4C61">
      <w:r>
        <w:separator/>
      </w:r>
    </w:p>
  </w:footnote>
  <w:footnote w:type="continuationSeparator" w:id="0">
    <w:p w14:paraId="459DAF85" w14:textId="77777777" w:rsidR="007C45F8" w:rsidRDefault="007C45F8" w:rsidP="008D4C61">
      <w:r>
        <w:continuationSeparator/>
      </w:r>
    </w:p>
  </w:footnote>
  <w:footnote w:type="continuationNotice" w:id="1">
    <w:p w14:paraId="7793005D" w14:textId="77777777" w:rsidR="007C45F8" w:rsidRDefault="007C45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025832">
    <w:abstractNumId w:val="3"/>
  </w:num>
  <w:num w:numId="2" w16cid:durableId="987712561">
    <w:abstractNumId w:val="1"/>
  </w:num>
  <w:num w:numId="3" w16cid:durableId="1930504727">
    <w:abstractNumId w:val="0"/>
  </w:num>
  <w:num w:numId="4" w16cid:durableId="1608348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17A89"/>
    <w:rsid w:val="00017B95"/>
    <w:rsid w:val="00030D00"/>
    <w:rsid w:val="0003702D"/>
    <w:rsid w:val="00040832"/>
    <w:rsid w:val="00041428"/>
    <w:rsid w:val="0004727B"/>
    <w:rsid w:val="00061F0D"/>
    <w:rsid w:val="000728F1"/>
    <w:rsid w:val="000767FD"/>
    <w:rsid w:val="000806AF"/>
    <w:rsid w:val="00083B81"/>
    <w:rsid w:val="000916E8"/>
    <w:rsid w:val="0009246F"/>
    <w:rsid w:val="00096E35"/>
    <w:rsid w:val="000A2A65"/>
    <w:rsid w:val="000A7E19"/>
    <w:rsid w:val="000B140B"/>
    <w:rsid w:val="000B1521"/>
    <w:rsid w:val="000B375A"/>
    <w:rsid w:val="000B6A51"/>
    <w:rsid w:val="000E00D3"/>
    <w:rsid w:val="000E20C7"/>
    <w:rsid w:val="000E449B"/>
    <w:rsid w:val="000E4C35"/>
    <w:rsid w:val="000F4D6E"/>
    <w:rsid w:val="000F7A1C"/>
    <w:rsid w:val="0010063F"/>
    <w:rsid w:val="00106D1C"/>
    <w:rsid w:val="00111326"/>
    <w:rsid w:val="00116916"/>
    <w:rsid w:val="00123454"/>
    <w:rsid w:val="0012444E"/>
    <w:rsid w:val="00124648"/>
    <w:rsid w:val="0013364A"/>
    <w:rsid w:val="00133E5A"/>
    <w:rsid w:val="00136639"/>
    <w:rsid w:val="00137F15"/>
    <w:rsid w:val="001414A7"/>
    <w:rsid w:val="001425D8"/>
    <w:rsid w:val="00162F94"/>
    <w:rsid w:val="00163896"/>
    <w:rsid w:val="00164CDE"/>
    <w:rsid w:val="00166E09"/>
    <w:rsid w:val="001720E9"/>
    <w:rsid w:val="00173E89"/>
    <w:rsid w:val="00175169"/>
    <w:rsid w:val="00175753"/>
    <w:rsid w:val="001819FA"/>
    <w:rsid w:val="00181FF1"/>
    <w:rsid w:val="0018747D"/>
    <w:rsid w:val="001874E0"/>
    <w:rsid w:val="00197113"/>
    <w:rsid w:val="001A3FBB"/>
    <w:rsid w:val="001A45FF"/>
    <w:rsid w:val="001B154A"/>
    <w:rsid w:val="001B4357"/>
    <w:rsid w:val="001B55B9"/>
    <w:rsid w:val="001B60EF"/>
    <w:rsid w:val="001B7AAC"/>
    <w:rsid w:val="001C2627"/>
    <w:rsid w:val="001D4676"/>
    <w:rsid w:val="001E1E63"/>
    <w:rsid w:val="001E467C"/>
    <w:rsid w:val="001E61C1"/>
    <w:rsid w:val="001F02B1"/>
    <w:rsid w:val="001F2432"/>
    <w:rsid w:val="001F5BF5"/>
    <w:rsid w:val="00207AE7"/>
    <w:rsid w:val="00210326"/>
    <w:rsid w:val="00211B63"/>
    <w:rsid w:val="00215D40"/>
    <w:rsid w:val="00222474"/>
    <w:rsid w:val="002249C6"/>
    <w:rsid w:val="00227DF2"/>
    <w:rsid w:val="0023250D"/>
    <w:rsid w:val="00236AE6"/>
    <w:rsid w:val="002424CD"/>
    <w:rsid w:val="002440CF"/>
    <w:rsid w:val="002441A3"/>
    <w:rsid w:val="00245C78"/>
    <w:rsid w:val="00247CDE"/>
    <w:rsid w:val="0025066F"/>
    <w:rsid w:val="0027647C"/>
    <w:rsid w:val="00276F85"/>
    <w:rsid w:val="0027787B"/>
    <w:rsid w:val="0028045A"/>
    <w:rsid w:val="00280974"/>
    <w:rsid w:val="00283C55"/>
    <w:rsid w:val="00293A6F"/>
    <w:rsid w:val="002A4DDF"/>
    <w:rsid w:val="002A5024"/>
    <w:rsid w:val="002A6A70"/>
    <w:rsid w:val="002B29F0"/>
    <w:rsid w:val="002C28FF"/>
    <w:rsid w:val="002C44E5"/>
    <w:rsid w:val="002C5EA5"/>
    <w:rsid w:val="002D0742"/>
    <w:rsid w:val="002E43F9"/>
    <w:rsid w:val="002F11B7"/>
    <w:rsid w:val="002F22A3"/>
    <w:rsid w:val="00310696"/>
    <w:rsid w:val="00311A8D"/>
    <w:rsid w:val="003120A7"/>
    <w:rsid w:val="0031423E"/>
    <w:rsid w:val="00314845"/>
    <w:rsid w:val="00316408"/>
    <w:rsid w:val="00317D94"/>
    <w:rsid w:val="003224A3"/>
    <w:rsid w:val="003231CB"/>
    <w:rsid w:val="003269BC"/>
    <w:rsid w:val="00335A57"/>
    <w:rsid w:val="003400B8"/>
    <w:rsid w:val="003403A1"/>
    <w:rsid w:val="0034372C"/>
    <w:rsid w:val="00347F5E"/>
    <w:rsid w:val="003550A9"/>
    <w:rsid w:val="003662FD"/>
    <w:rsid w:val="0036771F"/>
    <w:rsid w:val="00371E0F"/>
    <w:rsid w:val="00380163"/>
    <w:rsid w:val="00380F79"/>
    <w:rsid w:val="0039347A"/>
    <w:rsid w:val="00393CC4"/>
    <w:rsid w:val="0039750E"/>
    <w:rsid w:val="00397E12"/>
    <w:rsid w:val="003A20D0"/>
    <w:rsid w:val="003A7C35"/>
    <w:rsid w:val="003B0359"/>
    <w:rsid w:val="003B56E9"/>
    <w:rsid w:val="003B7F75"/>
    <w:rsid w:val="003C2EEF"/>
    <w:rsid w:val="003C4ECA"/>
    <w:rsid w:val="003C6901"/>
    <w:rsid w:val="003D0859"/>
    <w:rsid w:val="003D3A73"/>
    <w:rsid w:val="003E0927"/>
    <w:rsid w:val="003E5D4D"/>
    <w:rsid w:val="003F09ED"/>
    <w:rsid w:val="00401BD6"/>
    <w:rsid w:val="00404355"/>
    <w:rsid w:val="004069BC"/>
    <w:rsid w:val="00410E50"/>
    <w:rsid w:val="004143AF"/>
    <w:rsid w:val="00416F26"/>
    <w:rsid w:val="004214F0"/>
    <w:rsid w:val="0042386B"/>
    <w:rsid w:val="00425D37"/>
    <w:rsid w:val="00425DDB"/>
    <w:rsid w:val="004438B4"/>
    <w:rsid w:val="00446F83"/>
    <w:rsid w:val="0045015E"/>
    <w:rsid w:val="00455A3A"/>
    <w:rsid w:val="00462731"/>
    <w:rsid w:val="004641A3"/>
    <w:rsid w:val="00474108"/>
    <w:rsid w:val="004748E5"/>
    <w:rsid w:val="00475630"/>
    <w:rsid w:val="004812A4"/>
    <w:rsid w:val="004817A6"/>
    <w:rsid w:val="004A0067"/>
    <w:rsid w:val="004A25B2"/>
    <w:rsid w:val="004A4E02"/>
    <w:rsid w:val="004B46C4"/>
    <w:rsid w:val="004B4DD1"/>
    <w:rsid w:val="004B6522"/>
    <w:rsid w:val="004B6CF9"/>
    <w:rsid w:val="004B74A2"/>
    <w:rsid w:val="004B78EE"/>
    <w:rsid w:val="004C6304"/>
    <w:rsid w:val="004D68D1"/>
    <w:rsid w:val="004D7015"/>
    <w:rsid w:val="004D7248"/>
    <w:rsid w:val="004E11C1"/>
    <w:rsid w:val="004E132B"/>
    <w:rsid w:val="004E58E8"/>
    <w:rsid w:val="004E5B27"/>
    <w:rsid w:val="004F30EC"/>
    <w:rsid w:val="004F7D46"/>
    <w:rsid w:val="00500B91"/>
    <w:rsid w:val="00501DC9"/>
    <w:rsid w:val="00507649"/>
    <w:rsid w:val="00515F77"/>
    <w:rsid w:val="00532B4A"/>
    <w:rsid w:val="00536174"/>
    <w:rsid w:val="0053645E"/>
    <w:rsid w:val="00536D00"/>
    <w:rsid w:val="00556F6E"/>
    <w:rsid w:val="00557272"/>
    <w:rsid w:val="00562CA8"/>
    <w:rsid w:val="00562EC8"/>
    <w:rsid w:val="00564948"/>
    <w:rsid w:val="005653C7"/>
    <w:rsid w:val="00565770"/>
    <w:rsid w:val="00572949"/>
    <w:rsid w:val="00595762"/>
    <w:rsid w:val="00596336"/>
    <w:rsid w:val="005A1732"/>
    <w:rsid w:val="005A2602"/>
    <w:rsid w:val="005B1753"/>
    <w:rsid w:val="005B77A0"/>
    <w:rsid w:val="005D179F"/>
    <w:rsid w:val="005D34A0"/>
    <w:rsid w:val="005D763F"/>
    <w:rsid w:val="005F1703"/>
    <w:rsid w:val="005F7398"/>
    <w:rsid w:val="006000D7"/>
    <w:rsid w:val="006042AE"/>
    <w:rsid w:val="00604B3A"/>
    <w:rsid w:val="00621CE4"/>
    <w:rsid w:val="006301E3"/>
    <w:rsid w:val="00632165"/>
    <w:rsid w:val="00635187"/>
    <w:rsid w:val="006417CB"/>
    <w:rsid w:val="00641B63"/>
    <w:rsid w:val="00642395"/>
    <w:rsid w:val="00646B45"/>
    <w:rsid w:val="00654C8F"/>
    <w:rsid w:val="0065523A"/>
    <w:rsid w:val="00661140"/>
    <w:rsid w:val="006624F1"/>
    <w:rsid w:val="00667309"/>
    <w:rsid w:val="00680183"/>
    <w:rsid w:val="006823F0"/>
    <w:rsid w:val="00683961"/>
    <w:rsid w:val="0068399C"/>
    <w:rsid w:val="00686804"/>
    <w:rsid w:val="00690C55"/>
    <w:rsid w:val="006A3534"/>
    <w:rsid w:val="006A4017"/>
    <w:rsid w:val="006B1B2E"/>
    <w:rsid w:val="006B1B59"/>
    <w:rsid w:val="006B41AA"/>
    <w:rsid w:val="006C1200"/>
    <w:rsid w:val="006C54C2"/>
    <w:rsid w:val="006C6284"/>
    <w:rsid w:val="006D089F"/>
    <w:rsid w:val="006D1498"/>
    <w:rsid w:val="006E0374"/>
    <w:rsid w:val="006E6C59"/>
    <w:rsid w:val="006F2772"/>
    <w:rsid w:val="00704995"/>
    <w:rsid w:val="0070516D"/>
    <w:rsid w:val="0071092A"/>
    <w:rsid w:val="007134EF"/>
    <w:rsid w:val="0071560C"/>
    <w:rsid w:val="00730DB5"/>
    <w:rsid w:val="007323BB"/>
    <w:rsid w:val="00734CB2"/>
    <w:rsid w:val="00735DF4"/>
    <w:rsid w:val="0074240B"/>
    <w:rsid w:val="00742FEC"/>
    <w:rsid w:val="007465F0"/>
    <w:rsid w:val="0074706B"/>
    <w:rsid w:val="00764AD1"/>
    <w:rsid w:val="007656FB"/>
    <w:rsid w:val="00765B57"/>
    <w:rsid w:val="00771712"/>
    <w:rsid w:val="0077526E"/>
    <w:rsid w:val="00777444"/>
    <w:rsid w:val="00785AD1"/>
    <w:rsid w:val="007A40C5"/>
    <w:rsid w:val="007A473A"/>
    <w:rsid w:val="007A6FC4"/>
    <w:rsid w:val="007B4403"/>
    <w:rsid w:val="007C226D"/>
    <w:rsid w:val="007C45F8"/>
    <w:rsid w:val="007C5A7F"/>
    <w:rsid w:val="007C5C3C"/>
    <w:rsid w:val="007D27FF"/>
    <w:rsid w:val="007D48DE"/>
    <w:rsid w:val="007D680B"/>
    <w:rsid w:val="007D747A"/>
    <w:rsid w:val="007E0C77"/>
    <w:rsid w:val="007E5151"/>
    <w:rsid w:val="007E789D"/>
    <w:rsid w:val="007F1CBB"/>
    <w:rsid w:val="007F3E01"/>
    <w:rsid w:val="007F54A2"/>
    <w:rsid w:val="007F7A11"/>
    <w:rsid w:val="007F7CFA"/>
    <w:rsid w:val="00802A2F"/>
    <w:rsid w:val="00803D3B"/>
    <w:rsid w:val="0082019D"/>
    <w:rsid w:val="00826A5D"/>
    <w:rsid w:val="00846082"/>
    <w:rsid w:val="00847265"/>
    <w:rsid w:val="00847E59"/>
    <w:rsid w:val="00855FA9"/>
    <w:rsid w:val="00862F51"/>
    <w:rsid w:val="008668E3"/>
    <w:rsid w:val="008702FE"/>
    <w:rsid w:val="00870558"/>
    <w:rsid w:val="00873737"/>
    <w:rsid w:val="00877413"/>
    <w:rsid w:val="00880914"/>
    <w:rsid w:val="00886A12"/>
    <w:rsid w:val="0089254E"/>
    <w:rsid w:val="008A174C"/>
    <w:rsid w:val="008A48D9"/>
    <w:rsid w:val="008A729C"/>
    <w:rsid w:val="008A7C66"/>
    <w:rsid w:val="008B3EBC"/>
    <w:rsid w:val="008B78E9"/>
    <w:rsid w:val="008C4C37"/>
    <w:rsid w:val="008C72C6"/>
    <w:rsid w:val="008D049C"/>
    <w:rsid w:val="008D0561"/>
    <w:rsid w:val="008D4C61"/>
    <w:rsid w:val="008D648A"/>
    <w:rsid w:val="008D7CED"/>
    <w:rsid w:val="008E033D"/>
    <w:rsid w:val="008E362B"/>
    <w:rsid w:val="008F0127"/>
    <w:rsid w:val="008F2A87"/>
    <w:rsid w:val="008F3197"/>
    <w:rsid w:val="008F5261"/>
    <w:rsid w:val="008F571A"/>
    <w:rsid w:val="008F5F4C"/>
    <w:rsid w:val="00903B1B"/>
    <w:rsid w:val="00904592"/>
    <w:rsid w:val="00905A02"/>
    <w:rsid w:val="00922C31"/>
    <w:rsid w:val="00927835"/>
    <w:rsid w:val="00933F38"/>
    <w:rsid w:val="00934704"/>
    <w:rsid w:val="0093555D"/>
    <w:rsid w:val="0093671B"/>
    <w:rsid w:val="009464CB"/>
    <w:rsid w:val="009466F6"/>
    <w:rsid w:val="00946F53"/>
    <w:rsid w:val="00947551"/>
    <w:rsid w:val="009478D6"/>
    <w:rsid w:val="009502DB"/>
    <w:rsid w:val="00953626"/>
    <w:rsid w:val="009548E5"/>
    <w:rsid w:val="00957152"/>
    <w:rsid w:val="00963A38"/>
    <w:rsid w:val="00975BED"/>
    <w:rsid w:val="00977CC5"/>
    <w:rsid w:val="009A6B07"/>
    <w:rsid w:val="009A7605"/>
    <w:rsid w:val="009B710B"/>
    <w:rsid w:val="009C10F0"/>
    <w:rsid w:val="009D07FE"/>
    <w:rsid w:val="009D2663"/>
    <w:rsid w:val="009D4A72"/>
    <w:rsid w:val="009F3676"/>
    <w:rsid w:val="00A10152"/>
    <w:rsid w:val="00A11016"/>
    <w:rsid w:val="00A121DD"/>
    <w:rsid w:val="00A12B71"/>
    <w:rsid w:val="00A17B8C"/>
    <w:rsid w:val="00A317D1"/>
    <w:rsid w:val="00A31DC7"/>
    <w:rsid w:val="00A326DB"/>
    <w:rsid w:val="00A33CEC"/>
    <w:rsid w:val="00A33DA8"/>
    <w:rsid w:val="00A4069C"/>
    <w:rsid w:val="00A424EB"/>
    <w:rsid w:val="00A434A1"/>
    <w:rsid w:val="00A66496"/>
    <w:rsid w:val="00A66795"/>
    <w:rsid w:val="00A7311F"/>
    <w:rsid w:val="00A7511C"/>
    <w:rsid w:val="00A81150"/>
    <w:rsid w:val="00A93D12"/>
    <w:rsid w:val="00A944DA"/>
    <w:rsid w:val="00A97572"/>
    <w:rsid w:val="00A9769A"/>
    <w:rsid w:val="00AA3ED9"/>
    <w:rsid w:val="00AA416F"/>
    <w:rsid w:val="00AA53B4"/>
    <w:rsid w:val="00AA5C58"/>
    <w:rsid w:val="00AB536E"/>
    <w:rsid w:val="00AB5B9E"/>
    <w:rsid w:val="00AC4A88"/>
    <w:rsid w:val="00AD032A"/>
    <w:rsid w:val="00AD4852"/>
    <w:rsid w:val="00AD58C4"/>
    <w:rsid w:val="00AE2B3A"/>
    <w:rsid w:val="00AE7B38"/>
    <w:rsid w:val="00AF1D8E"/>
    <w:rsid w:val="00AF7386"/>
    <w:rsid w:val="00B05E22"/>
    <w:rsid w:val="00B11C52"/>
    <w:rsid w:val="00B14BF7"/>
    <w:rsid w:val="00B17C2A"/>
    <w:rsid w:val="00B23131"/>
    <w:rsid w:val="00B27B0C"/>
    <w:rsid w:val="00B30586"/>
    <w:rsid w:val="00B31CD4"/>
    <w:rsid w:val="00B37795"/>
    <w:rsid w:val="00B37B53"/>
    <w:rsid w:val="00B42B0B"/>
    <w:rsid w:val="00B452A4"/>
    <w:rsid w:val="00B50CB2"/>
    <w:rsid w:val="00B57B47"/>
    <w:rsid w:val="00B6221B"/>
    <w:rsid w:val="00B646AB"/>
    <w:rsid w:val="00B7455C"/>
    <w:rsid w:val="00B75755"/>
    <w:rsid w:val="00B940ED"/>
    <w:rsid w:val="00B945D9"/>
    <w:rsid w:val="00B94BAC"/>
    <w:rsid w:val="00BA20C5"/>
    <w:rsid w:val="00BA621D"/>
    <w:rsid w:val="00BA66C1"/>
    <w:rsid w:val="00BB55D6"/>
    <w:rsid w:val="00BC5AB9"/>
    <w:rsid w:val="00BE1B10"/>
    <w:rsid w:val="00BE2FD5"/>
    <w:rsid w:val="00BF5183"/>
    <w:rsid w:val="00C0549D"/>
    <w:rsid w:val="00C06038"/>
    <w:rsid w:val="00C27009"/>
    <w:rsid w:val="00C350C3"/>
    <w:rsid w:val="00C5070F"/>
    <w:rsid w:val="00C51553"/>
    <w:rsid w:val="00C523E5"/>
    <w:rsid w:val="00C540E7"/>
    <w:rsid w:val="00C67B7E"/>
    <w:rsid w:val="00C74E9F"/>
    <w:rsid w:val="00C7584C"/>
    <w:rsid w:val="00C76ECD"/>
    <w:rsid w:val="00C77246"/>
    <w:rsid w:val="00C8240E"/>
    <w:rsid w:val="00C83C7C"/>
    <w:rsid w:val="00C9669C"/>
    <w:rsid w:val="00CA4254"/>
    <w:rsid w:val="00CB5C45"/>
    <w:rsid w:val="00CC1ED5"/>
    <w:rsid w:val="00CC2A1D"/>
    <w:rsid w:val="00CC3BE9"/>
    <w:rsid w:val="00CD1E99"/>
    <w:rsid w:val="00CD27DF"/>
    <w:rsid w:val="00CD756B"/>
    <w:rsid w:val="00CD7D64"/>
    <w:rsid w:val="00CE066B"/>
    <w:rsid w:val="00CF13D0"/>
    <w:rsid w:val="00CF2DEE"/>
    <w:rsid w:val="00D02AFE"/>
    <w:rsid w:val="00D03942"/>
    <w:rsid w:val="00D04387"/>
    <w:rsid w:val="00D05266"/>
    <w:rsid w:val="00D053EA"/>
    <w:rsid w:val="00D06264"/>
    <w:rsid w:val="00D0733C"/>
    <w:rsid w:val="00D14D2C"/>
    <w:rsid w:val="00D1687F"/>
    <w:rsid w:val="00D242F5"/>
    <w:rsid w:val="00D406BE"/>
    <w:rsid w:val="00D40A45"/>
    <w:rsid w:val="00D4357B"/>
    <w:rsid w:val="00D44961"/>
    <w:rsid w:val="00D44B4B"/>
    <w:rsid w:val="00D45FAF"/>
    <w:rsid w:val="00D50A73"/>
    <w:rsid w:val="00D52AF0"/>
    <w:rsid w:val="00D546BD"/>
    <w:rsid w:val="00D556CE"/>
    <w:rsid w:val="00D55F3A"/>
    <w:rsid w:val="00D659AE"/>
    <w:rsid w:val="00D815E3"/>
    <w:rsid w:val="00D86DE0"/>
    <w:rsid w:val="00D87446"/>
    <w:rsid w:val="00D87897"/>
    <w:rsid w:val="00D93868"/>
    <w:rsid w:val="00D9583C"/>
    <w:rsid w:val="00DA7417"/>
    <w:rsid w:val="00DA7F16"/>
    <w:rsid w:val="00DB0DDD"/>
    <w:rsid w:val="00DB1217"/>
    <w:rsid w:val="00DB1FB2"/>
    <w:rsid w:val="00DB28F2"/>
    <w:rsid w:val="00DB5393"/>
    <w:rsid w:val="00DC0523"/>
    <w:rsid w:val="00DC6494"/>
    <w:rsid w:val="00DD2C65"/>
    <w:rsid w:val="00DD2CFC"/>
    <w:rsid w:val="00DE24D8"/>
    <w:rsid w:val="00DE322B"/>
    <w:rsid w:val="00DF094C"/>
    <w:rsid w:val="00DF7E9E"/>
    <w:rsid w:val="00E1001D"/>
    <w:rsid w:val="00E12F3C"/>
    <w:rsid w:val="00E16138"/>
    <w:rsid w:val="00E23257"/>
    <w:rsid w:val="00E2401D"/>
    <w:rsid w:val="00E2571E"/>
    <w:rsid w:val="00E340BD"/>
    <w:rsid w:val="00E40EB1"/>
    <w:rsid w:val="00E43BFE"/>
    <w:rsid w:val="00E5141F"/>
    <w:rsid w:val="00E54E97"/>
    <w:rsid w:val="00E62C2C"/>
    <w:rsid w:val="00E7403A"/>
    <w:rsid w:val="00E76810"/>
    <w:rsid w:val="00E811E9"/>
    <w:rsid w:val="00E83EBA"/>
    <w:rsid w:val="00E871F9"/>
    <w:rsid w:val="00E95C1F"/>
    <w:rsid w:val="00E974AC"/>
    <w:rsid w:val="00EA4AE6"/>
    <w:rsid w:val="00EB1BEF"/>
    <w:rsid w:val="00EB26D9"/>
    <w:rsid w:val="00EB3C9C"/>
    <w:rsid w:val="00EC45C4"/>
    <w:rsid w:val="00EC4C8D"/>
    <w:rsid w:val="00ED41BF"/>
    <w:rsid w:val="00ED5B87"/>
    <w:rsid w:val="00EF6FB1"/>
    <w:rsid w:val="00F00F97"/>
    <w:rsid w:val="00F12B02"/>
    <w:rsid w:val="00F13E0E"/>
    <w:rsid w:val="00F1540C"/>
    <w:rsid w:val="00F200F2"/>
    <w:rsid w:val="00F21806"/>
    <w:rsid w:val="00F26897"/>
    <w:rsid w:val="00F31BD1"/>
    <w:rsid w:val="00F31E30"/>
    <w:rsid w:val="00F43D0B"/>
    <w:rsid w:val="00F441DB"/>
    <w:rsid w:val="00F524DE"/>
    <w:rsid w:val="00F56463"/>
    <w:rsid w:val="00F6106C"/>
    <w:rsid w:val="00F657A6"/>
    <w:rsid w:val="00F70419"/>
    <w:rsid w:val="00F81796"/>
    <w:rsid w:val="00F82069"/>
    <w:rsid w:val="00F875D4"/>
    <w:rsid w:val="00F934AA"/>
    <w:rsid w:val="00F9387E"/>
    <w:rsid w:val="00F96E47"/>
    <w:rsid w:val="00F97290"/>
    <w:rsid w:val="00FA7A0D"/>
    <w:rsid w:val="00FC4504"/>
    <w:rsid w:val="00FD21F0"/>
    <w:rsid w:val="00FF288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9E8AC"/>
  <w15:chartTrackingRefBased/>
  <w15:docId w15:val="{682538A1-134A-4213-B0B7-5218A8F9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3ED9"/>
    <w:rPr>
      <w:color w:val="0000FF"/>
      <w:u w:val="single"/>
    </w:rPr>
  </w:style>
  <w:style w:type="character" w:customStyle="1" w:styleId="EndnoteTextChar">
    <w:name w:val="Endnote Text Char"/>
    <w:basedOn w:val="DefaultParagraphFont"/>
    <w:link w:val="EndnoteText"/>
    <w:semiHidden/>
    <w:rsid w:val="0025066F"/>
    <w:rPr>
      <w:rFonts w:ascii="Calibri" w:eastAsia="宋体" w:hAnsi="Calibri" w:cs="Times New Roman"/>
      <w:kern w:val="2"/>
      <w:sz w:val="21"/>
      <w:szCs w:val="22"/>
    </w:rPr>
  </w:style>
  <w:style w:type="paragraph" w:styleId="EndnoteText">
    <w:name w:val="endnote text"/>
    <w:basedOn w:val="Normal"/>
    <w:link w:val="EndnoteTextChar"/>
    <w:semiHidden/>
    <w:rsid w:val="0025066F"/>
    <w:pPr>
      <w:snapToGrid w:val="0"/>
      <w:jc w:val="left"/>
    </w:pPr>
  </w:style>
  <w:style w:type="paragraph" w:customStyle="1" w:styleId="MacPacTrailer">
    <w:name w:val="MacPac Trailer"/>
    <w:rsid w:val="00455A3A"/>
    <w:pPr>
      <w:widowControl w:val="0"/>
      <w:spacing w:line="170" w:lineRule="exact"/>
    </w:pPr>
    <w:rPr>
      <w:sz w:val="14"/>
      <w:szCs w:val="22"/>
    </w:rPr>
  </w:style>
  <w:style w:type="character" w:customStyle="1" w:styleId="BalloonTextChar">
    <w:name w:val="Balloon Text Char"/>
    <w:basedOn w:val="DefaultParagraphFont"/>
    <w:link w:val="BalloonText"/>
    <w:uiPriority w:val="99"/>
    <w:semiHidden/>
    <w:rsid w:val="00280974"/>
    <w:rPr>
      <w:rFonts w:ascii="Segoe UI" w:eastAsia="宋体" w:hAnsi="Segoe UI" w:cs="Segoe UI"/>
      <w:kern w:val="2"/>
      <w:sz w:val="18"/>
      <w:szCs w:val="18"/>
    </w:rPr>
  </w:style>
  <w:style w:type="paragraph" w:styleId="BalloonText">
    <w:name w:val="Balloon Text"/>
    <w:basedOn w:val="Normal"/>
    <w:link w:val="BalloonTextChar"/>
    <w:uiPriority w:val="99"/>
    <w:semiHidden/>
    <w:unhideWhenUsed/>
    <w:rsid w:val="00280974"/>
    <w:rPr>
      <w:rFonts w:ascii="Segoe UI" w:hAnsi="Segoe UI" w:cs="Segoe UI"/>
      <w:sz w:val="18"/>
      <w:szCs w:val="18"/>
    </w:rPr>
  </w:style>
  <w:style w:type="paragraph" w:styleId="Header">
    <w:name w:val="header"/>
    <w:basedOn w:val="Normal"/>
    <w:link w:val="HeaderChar"/>
    <w:uiPriority w:val="99"/>
    <w:unhideWhenUsed/>
    <w:rsid w:val="008D4C61"/>
    <w:pPr>
      <w:tabs>
        <w:tab w:val="center" w:pos="4320"/>
        <w:tab w:val="right" w:pos="8640"/>
      </w:tabs>
    </w:pPr>
  </w:style>
  <w:style w:type="character" w:customStyle="1" w:styleId="HeaderChar">
    <w:name w:val="Header Char"/>
    <w:basedOn w:val="DefaultParagraphFont"/>
    <w:link w:val="Header"/>
    <w:uiPriority w:val="99"/>
    <w:rsid w:val="008D4C61"/>
    <w:rPr>
      <w:rFonts w:ascii="Calibri" w:eastAsia="宋体" w:hAnsi="Calibri" w:cs="Times New Roman"/>
      <w:kern w:val="2"/>
      <w:sz w:val="21"/>
      <w:szCs w:val="22"/>
    </w:rPr>
  </w:style>
  <w:style w:type="paragraph" w:styleId="Footer">
    <w:name w:val="footer"/>
    <w:basedOn w:val="Normal"/>
    <w:link w:val="FooterChar"/>
    <w:uiPriority w:val="99"/>
    <w:unhideWhenUsed/>
    <w:rsid w:val="008D4C61"/>
    <w:pPr>
      <w:tabs>
        <w:tab w:val="center" w:pos="4320"/>
        <w:tab w:val="right" w:pos="8640"/>
      </w:tabs>
    </w:pPr>
  </w:style>
  <w:style w:type="character" w:customStyle="1" w:styleId="FooterChar">
    <w:name w:val="Footer Char"/>
    <w:basedOn w:val="DefaultParagraphFont"/>
    <w:link w:val="Footer"/>
    <w:uiPriority w:val="99"/>
    <w:rsid w:val="008D4C61"/>
    <w:rPr>
      <w:rFonts w:ascii="Calibri" w:eastAsia="宋体" w:hAnsi="Calibri" w:cs="Times New Roman"/>
      <w:kern w:val="2"/>
      <w:sz w:val="21"/>
      <w:szCs w:val="22"/>
    </w:rPr>
  </w:style>
  <w:style w:type="character" w:styleId="CommentReference">
    <w:name w:val="annotation reference"/>
    <w:basedOn w:val="DefaultParagraphFont"/>
    <w:uiPriority w:val="99"/>
    <w:semiHidden/>
    <w:unhideWhenUsed/>
    <w:rsid w:val="00F26897"/>
    <w:rPr>
      <w:sz w:val="16"/>
      <w:szCs w:val="16"/>
    </w:rPr>
  </w:style>
  <w:style w:type="paragraph" w:styleId="CommentText">
    <w:name w:val="annotation text"/>
    <w:basedOn w:val="Normal"/>
    <w:link w:val="CommentTextChar"/>
    <w:uiPriority w:val="99"/>
    <w:unhideWhenUsed/>
    <w:rsid w:val="00F26897"/>
    <w:rPr>
      <w:sz w:val="20"/>
      <w:szCs w:val="20"/>
    </w:rPr>
  </w:style>
  <w:style w:type="character" w:styleId="FollowedHyperlink">
    <w:name w:val="FollowedHyperlink"/>
    <w:basedOn w:val="DefaultParagraphFont"/>
    <w:uiPriority w:val="99"/>
    <w:semiHidden/>
    <w:unhideWhenUsed/>
    <w:rsid w:val="004A0067"/>
    <w:rPr>
      <w:color w:val="954F72" w:themeColor="followedHyperlink"/>
      <w:u w:val="single"/>
    </w:rPr>
  </w:style>
  <w:style w:type="character" w:customStyle="1" w:styleId="CommentTextChar">
    <w:name w:val="Comment Text Char"/>
    <w:basedOn w:val="DefaultParagraphFont"/>
    <w:link w:val="CommentText"/>
    <w:uiPriority w:val="99"/>
    <w:rsid w:val="00F26897"/>
    <w:rPr>
      <w:rFonts w:ascii="Calibri" w:eastAsia="宋体" w:hAnsi="Calibri" w:cs="Times New Roman"/>
      <w:kern w:val="2"/>
      <w:sz w:val="20"/>
      <w:szCs w:val="20"/>
    </w:rPr>
  </w:style>
  <w:style w:type="paragraph" w:styleId="CommentSubject">
    <w:name w:val="annotation subject"/>
    <w:basedOn w:val="CommentText"/>
    <w:next w:val="CommentText"/>
    <w:link w:val="CommentSubjectChar"/>
    <w:uiPriority w:val="99"/>
    <w:semiHidden/>
    <w:unhideWhenUsed/>
    <w:rsid w:val="00F26897"/>
    <w:rPr>
      <w:b/>
      <w:bCs/>
    </w:rPr>
  </w:style>
  <w:style w:type="character" w:customStyle="1" w:styleId="CommentSubjectChar">
    <w:name w:val="Comment Subject Char"/>
    <w:basedOn w:val="CommentTextChar"/>
    <w:link w:val="CommentSubject"/>
    <w:uiPriority w:val="99"/>
    <w:semiHidden/>
    <w:rsid w:val="00F26897"/>
    <w:rPr>
      <w:rFonts w:ascii="Calibri" w:eastAsia="宋体" w:hAnsi="Calibri" w:cs="Times New Roman"/>
      <w:b/>
      <w:bCs/>
      <w:kern w:val="2"/>
      <w:sz w:val="20"/>
      <w:szCs w:val="20"/>
    </w:rPr>
  </w:style>
  <w:style w:type="character" w:styleId="PlaceholderText">
    <w:name w:val="Placeholder Text"/>
    <w:basedOn w:val="DefaultParagraphFont"/>
    <w:uiPriority w:val="99"/>
    <w:semiHidden/>
    <w:rsid w:val="00455A3A"/>
    <w:rPr>
      <w:color w:val="808080"/>
    </w:rPr>
  </w:style>
  <w:style w:type="paragraph" w:styleId="ListParagraph">
    <w:name w:val="List Paragraph"/>
    <w:basedOn w:val="Normal"/>
    <w:uiPriority w:val="34"/>
    <w:qFormat/>
    <w:rsid w:val="005D179F"/>
    <w:pPr>
      <w:ind w:left="720"/>
      <w:contextualSpacing/>
    </w:pPr>
  </w:style>
  <w:style w:type="paragraph" w:styleId="FootnoteText">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Normal"/>
    <w:link w:val="FootnoteTextChar"/>
    <w:uiPriority w:val="99"/>
    <w:qFormat/>
    <w:rsid w:val="00DF7E9E"/>
    <w:pPr>
      <w:snapToGrid w:val="0"/>
      <w:jc w:val="left"/>
    </w:pPr>
    <w:rPr>
      <w:rFonts w:ascii="Times New Roman" w:hAnsi="Times New Roman"/>
      <w:sz w:val="18"/>
      <w:szCs w:val="18"/>
    </w:rPr>
  </w:style>
  <w:style w:type="character" w:customStyle="1" w:styleId="FootnoteTextChar">
    <w:name w:val="Footnote Text Char"/>
    <w:aliases w:val="ALTS FOOTNOTE Char,Car Char,Footnote Text Char Car Char,Footnote Text Char Car Car Car Car Car Char,Texto nota pie Car Char,Texto nota pie Car Car Car Char,Texto nota pie Car Car Car Car Car Char,Texto nota pie Car1 Car Char,fn Char"/>
    <w:basedOn w:val="DefaultParagraphFont"/>
    <w:link w:val="FootnoteText"/>
    <w:uiPriority w:val="99"/>
    <w:rsid w:val="00DF7E9E"/>
    <w:rPr>
      <w:rFonts w:eastAsia="宋体" w:cs="Times New Roman"/>
      <w:kern w:val="2"/>
      <w:sz w:val="18"/>
      <w:szCs w:val="18"/>
    </w:rPr>
  </w:style>
  <w:style w:type="character" w:styleId="FootnoteReference">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paragraph" w:customStyle="1" w:styleId="Header1">
    <w:name w:val="Header_1"/>
    <w:uiPriority w:val="99"/>
    <w:unhideWhenUsed/>
    <w:pPr>
      <w:widowControl w:val="0"/>
      <w:tabs>
        <w:tab w:val="center" w:pos="4320"/>
        <w:tab w:val="right" w:pos="8640"/>
      </w:tabs>
      <w:spacing w:after="0" w:line="240" w:lineRule="auto"/>
      <w:jc w:val="both"/>
    </w:pPr>
    <w:rPr>
      <w:rFonts w:ascii="Calibri" w:eastAsia="宋体" w:hAnsi="Calibri" w:cs="Times New Roman"/>
      <w:kern w:val="2"/>
      <w:sz w:val="21"/>
      <w:szCs w:val="22"/>
    </w:rPr>
  </w:style>
  <w:style w:type="table" w:styleId="TableGrid">
    <w:name w:val="Table Grid"/>
    <w:basedOn w:val="TableNormal"/>
    <w:rsid w:val="005653C7"/>
    <w:pPr>
      <w:spacing w:after="0" w:line="240" w:lineRule="auto"/>
    </w:pPr>
    <w:rPr>
      <w:rFonts w:eastAsia="宋体"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6F2772"/>
    <w:rPr>
      <w:color w:val="605E5C"/>
      <w:shd w:val="clear" w:color="auto" w:fill="E1DFDD"/>
    </w:rPr>
  </w:style>
  <w:style w:type="paragraph" w:styleId="Revision">
    <w:name w:val="Revision"/>
    <w:hidden/>
    <w:uiPriority w:val="99"/>
    <w:semiHidden/>
    <w:rsid w:val="00311A8D"/>
    <w:pPr>
      <w:spacing w:after="0" w:line="240" w:lineRule="auto"/>
    </w:pPr>
    <w:rPr>
      <w:rFonts w:ascii="Calibri" w:eastAsia="宋体" w:hAnsi="Calibri" w:cs="Times New Roman"/>
      <w:kern w:val="2"/>
      <w:sz w:val="21"/>
      <w:szCs w:val="22"/>
    </w:rPr>
  </w:style>
  <w:style w:type="character" w:styleId="UnresolvedMention">
    <w:name w:val="Unresolved Mention"/>
    <w:basedOn w:val="DefaultParagraphFont"/>
    <w:uiPriority w:val="99"/>
    <w:semiHidden/>
    <w:unhideWhenUsed/>
    <w:rsid w:val="00314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21808">
      <w:bodyDiv w:val="1"/>
      <w:marLeft w:val="0"/>
      <w:marRight w:val="0"/>
      <w:marTop w:val="0"/>
      <w:marBottom w:val="0"/>
      <w:divBdr>
        <w:top w:val="none" w:sz="0" w:space="0" w:color="auto"/>
        <w:left w:val="none" w:sz="0" w:space="0" w:color="auto"/>
        <w:bottom w:val="none" w:sz="0" w:space="0" w:color="auto"/>
        <w:right w:val="none" w:sz="0" w:space="0" w:color="auto"/>
      </w:divBdr>
      <w:divsChild>
        <w:div w:id="661591079">
          <w:marLeft w:val="0"/>
          <w:marRight w:val="0"/>
          <w:marTop w:val="0"/>
          <w:marBottom w:val="0"/>
          <w:divBdr>
            <w:top w:val="none" w:sz="0" w:space="0" w:color="auto"/>
            <w:left w:val="none" w:sz="0" w:space="0" w:color="auto"/>
            <w:bottom w:val="none" w:sz="0" w:space="0" w:color="auto"/>
            <w:right w:val="none" w:sz="0" w:space="0" w:color="auto"/>
          </w:divBdr>
        </w:div>
        <w:div w:id="745104939">
          <w:marLeft w:val="0"/>
          <w:marRight w:val="0"/>
          <w:marTop w:val="0"/>
          <w:marBottom w:val="0"/>
          <w:divBdr>
            <w:top w:val="none" w:sz="0" w:space="0" w:color="auto"/>
            <w:left w:val="none" w:sz="0" w:space="0" w:color="auto"/>
            <w:bottom w:val="none" w:sz="0" w:space="0" w:color="auto"/>
            <w:right w:val="none" w:sz="0" w:space="0" w:color="auto"/>
          </w:divBdr>
        </w:div>
        <w:div w:id="665137087">
          <w:marLeft w:val="0"/>
          <w:marRight w:val="0"/>
          <w:marTop w:val="0"/>
          <w:marBottom w:val="0"/>
          <w:divBdr>
            <w:top w:val="none" w:sz="0" w:space="0" w:color="auto"/>
            <w:left w:val="none" w:sz="0" w:space="0" w:color="auto"/>
            <w:bottom w:val="none" w:sz="0" w:space="0" w:color="auto"/>
            <w:right w:val="none" w:sz="0" w:space="0" w:color="auto"/>
          </w:divBdr>
        </w:div>
        <w:div w:id="1256599659">
          <w:marLeft w:val="0"/>
          <w:marRight w:val="0"/>
          <w:marTop w:val="0"/>
          <w:marBottom w:val="0"/>
          <w:divBdr>
            <w:top w:val="none" w:sz="0" w:space="0" w:color="auto"/>
            <w:left w:val="none" w:sz="0" w:space="0" w:color="auto"/>
            <w:bottom w:val="none" w:sz="0" w:space="0" w:color="auto"/>
            <w:right w:val="none" w:sz="0" w:space="0" w:color="auto"/>
          </w:divBdr>
        </w:div>
        <w:div w:id="378481314">
          <w:marLeft w:val="0"/>
          <w:marRight w:val="0"/>
          <w:marTop w:val="0"/>
          <w:marBottom w:val="0"/>
          <w:divBdr>
            <w:top w:val="none" w:sz="0" w:space="0" w:color="auto"/>
            <w:left w:val="none" w:sz="0" w:space="0" w:color="auto"/>
            <w:bottom w:val="none" w:sz="0" w:space="0" w:color="auto"/>
            <w:right w:val="none" w:sz="0" w:space="0" w:color="auto"/>
          </w:divBdr>
        </w:div>
        <w:div w:id="578444035">
          <w:marLeft w:val="0"/>
          <w:marRight w:val="0"/>
          <w:marTop w:val="0"/>
          <w:marBottom w:val="0"/>
          <w:divBdr>
            <w:top w:val="none" w:sz="0" w:space="0" w:color="auto"/>
            <w:left w:val="none" w:sz="0" w:space="0" w:color="auto"/>
            <w:bottom w:val="none" w:sz="0" w:space="0" w:color="auto"/>
            <w:right w:val="none" w:sz="0" w:space="0" w:color="auto"/>
          </w:divBdr>
        </w:div>
        <w:div w:id="500201985">
          <w:marLeft w:val="0"/>
          <w:marRight w:val="0"/>
          <w:marTop w:val="0"/>
          <w:marBottom w:val="0"/>
          <w:divBdr>
            <w:top w:val="none" w:sz="0" w:space="0" w:color="auto"/>
            <w:left w:val="none" w:sz="0" w:space="0" w:color="auto"/>
            <w:bottom w:val="none" w:sz="0" w:space="0" w:color="auto"/>
            <w:right w:val="none" w:sz="0" w:space="0" w:color="auto"/>
          </w:divBdr>
        </w:div>
        <w:div w:id="540942048">
          <w:marLeft w:val="0"/>
          <w:marRight w:val="0"/>
          <w:marTop w:val="0"/>
          <w:marBottom w:val="0"/>
          <w:divBdr>
            <w:top w:val="none" w:sz="0" w:space="0" w:color="auto"/>
            <w:left w:val="none" w:sz="0" w:space="0" w:color="auto"/>
            <w:bottom w:val="none" w:sz="0" w:space="0" w:color="auto"/>
            <w:right w:val="none" w:sz="0" w:space="0" w:color="auto"/>
          </w:divBdr>
        </w:div>
        <w:div w:id="23529561">
          <w:marLeft w:val="0"/>
          <w:marRight w:val="0"/>
          <w:marTop w:val="0"/>
          <w:marBottom w:val="0"/>
          <w:divBdr>
            <w:top w:val="none" w:sz="0" w:space="0" w:color="auto"/>
            <w:left w:val="none" w:sz="0" w:space="0" w:color="auto"/>
            <w:bottom w:val="none" w:sz="0" w:space="0" w:color="auto"/>
            <w:right w:val="none" w:sz="0" w:space="0" w:color="auto"/>
          </w:divBdr>
        </w:div>
      </w:divsChild>
    </w:div>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151599641">
      <w:bodyDiv w:val="1"/>
      <w:marLeft w:val="0"/>
      <w:marRight w:val="0"/>
      <w:marTop w:val="0"/>
      <w:marBottom w:val="0"/>
      <w:divBdr>
        <w:top w:val="none" w:sz="0" w:space="0" w:color="auto"/>
        <w:left w:val="none" w:sz="0" w:space="0" w:color="auto"/>
        <w:bottom w:val="none" w:sz="0" w:space="0" w:color="auto"/>
        <w:right w:val="none" w:sz="0" w:space="0" w:color="auto"/>
      </w:divBdr>
      <w:divsChild>
        <w:div w:id="1872721657">
          <w:marLeft w:val="0"/>
          <w:marRight w:val="0"/>
          <w:marTop w:val="0"/>
          <w:marBottom w:val="0"/>
          <w:divBdr>
            <w:top w:val="none" w:sz="0" w:space="0" w:color="auto"/>
            <w:left w:val="none" w:sz="0" w:space="0" w:color="auto"/>
            <w:bottom w:val="none" w:sz="0" w:space="0" w:color="auto"/>
            <w:right w:val="none" w:sz="0" w:space="0" w:color="auto"/>
          </w:divBdr>
        </w:div>
        <w:div w:id="1733652736">
          <w:marLeft w:val="0"/>
          <w:marRight w:val="0"/>
          <w:marTop w:val="0"/>
          <w:marBottom w:val="0"/>
          <w:divBdr>
            <w:top w:val="none" w:sz="0" w:space="0" w:color="auto"/>
            <w:left w:val="none" w:sz="0" w:space="0" w:color="auto"/>
            <w:bottom w:val="none" w:sz="0" w:space="0" w:color="auto"/>
            <w:right w:val="none" w:sz="0" w:space="0" w:color="auto"/>
          </w:divBdr>
        </w:div>
        <w:div w:id="714474016">
          <w:marLeft w:val="0"/>
          <w:marRight w:val="0"/>
          <w:marTop w:val="0"/>
          <w:marBottom w:val="0"/>
          <w:divBdr>
            <w:top w:val="none" w:sz="0" w:space="0" w:color="auto"/>
            <w:left w:val="none" w:sz="0" w:space="0" w:color="auto"/>
            <w:bottom w:val="none" w:sz="0" w:space="0" w:color="auto"/>
            <w:right w:val="none" w:sz="0" w:space="0" w:color="auto"/>
          </w:divBdr>
        </w:div>
        <w:div w:id="2321668">
          <w:marLeft w:val="0"/>
          <w:marRight w:val="0"/>
          <w:marTop w:val="0"/>
          <w:marBottom w:val="0"/>
          <w:divBdr>
            <w:top w:val="none" w:sz="0" w:space="0" w:color="auto"/>
            <w:left w:val="none" w:sz="0" w:space="0" w:color="auto"/>
            <w:bottom w:val="none" w:sz="0" w:space="0" w:color="auto"/>
            <w:right w:val="none" w:sz="0" w:space="0" w:color="auto"/>
          </w:divBdr>
        </w:div>
        <w:div w:id="1565875157">
          <w:marLeft w:val="0"/>
          <w:marRight w:val="0"/>
          <w:marTop w:val="0"/>
          <w:marBottom w:val="0"/>
          <w:divBdr>
            <w:top w:val="none" w:sz="0" w:space="0" w:color="auto"/>
            <w:left w:val="none" w:sz="0" w:space="0" w:color="auto"/>
            <w:bottom w:val="none" w:sz="0" w:space="0" w:color="auto"/>
            <w:right w:val="none" w:sz="0" w:space="0" w:color="auto"/>
          </w:divBdr>
        </w:div>
        <w:div w:id="692221134">
          <w:marLeft w:val="0"/>
          <w:marRight w:val="0"/>
          <w:marTop w:val="0"/>
          <w:marBottom w:val="0"/>
          <w:divBdr>
            <w:top w:val="none" w:sz="0" w:space="0" w:color="auto"/>
            <w:left w:val="none" w:sz="0" w:space="0" w:color="auto"/>
            <w:bottom w:val="none" w:sz="0" w:space="0" w:color="auto"/>
            <w:right w:val="none" w:sz="0" w:space="0" w:color="auto"/>
          </w:divBdr>
        </w:div>
        <w:div w:id="714308885">
          <w:marLeft w:val="0"/>
          <w:marRight w:val="0"/>
          <w:marTop w:val="0"/>
          <w:marBottom w:val="0"/>
          <w:divBdr>
            <w:top w:val="none" w:sz="0" w:space="0" w:color="auto"/>
            <w:left w:val="none" w:sz="0" w:space="0" w:color="auto"/>
            <w:bottom w:val="none" w:sz="0" w:space="0" w:color="auto"/>
            <w:right w:val="none" w:sz="0" w:space="0" w:color="auto"/>
          </w:divBdr>
        </w:div>
        <w:div w:id="1244297290">
          <w:marLeft w:val="0"/>
          <w:marRight w:val="0"/>
          <w:marTop w:val="0"/>
          <w:marBottom w:val="0"/>
          <w:divBdr>
            <w:top w:val="none" w:sz="0" w:space="0" w:color="auto"/>
            <w:left w:val="none" w:sz="0" w:space="0" w:color="auto"/>
            <w:bottom w:val="none" w:sz="0" w:space="0" w:color="auto"/>
            <w:right w:val="none" w:sz="0" w:space="0" w:color="auto"/>
          </w:divBdr>
        </w:div>
        <w:div w:id="1370835173">
          <w:marLeft w:val="0"/>
          <w:marRight w:val="0"/>
          <w:marTop w:val="0"/>
          <w:marBottom w:val="0"/>
          <w:divBdr>
            <w:top w:val="none" w:sz="0" w:space="0" w:color="auto"/>
            <w:left w:val="none" w:sz="0" w:space="0" w:color="auto"/>
            <w:bottom w:val="none" w:sz="0" w:space="0" w:color="auto"/>
            <w:right w:val="none" w:sz="0" w:space="0" w:color="auto"/>
          </w:divBdr>
        </w:div>
      </w:divsChild>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lcf76f155ced4ddcb4097134ff3c332f xmlns="82ca9465-6592-4865-8df8-50b29f99d77c">
      <Terms xmlns="http://schemas.microsoft.com/office/infopath/2007/PartnerControls"/>
    </lcf76f155ced4ddcb4097134ff3c332f>
    <MigrationWizIdPermissionLevels xmlns="82ca9465-6592-4865-8df8-50b29f99d77c" xsi:nil="true"/>
    <TaxCatchAll xmlns="7f5a0742-ef6e-487d-b85c-bcb0b91a525f" xsi:nil="true"/>
    <MigrationWizId xmlns="82ca9465-6592-4865-8df8-50b29f99d77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BEF7B70C4AB7804C914BB3815B62750E" ma:contentTypeVersion="20" ma:contentTypeDescription="新建文档。" ma:contentTypeScope="" ma:versionID="93b63605bdbec139cd2536d42c115c63">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b5d56709bed4c8f981ccef8525b365a2"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BF7644-13BB-437F-8A3F-E6B685454AD5}">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customXml/itemProps2.xml><?xml version="1.0" encoding="utf-8"?>
<ds:datastoreItem xmlns:ds="http://schemas.openxmlformats.org/officeDocument/2006/customXml" ds:itemID="{15D11022-E60C-42C1-A571-E90D83B28E96}">
  <ds:schemaRefs>
    <ds:schemaRef ds:uri="http://schemas.openxmlformats.org/officeDocument/2006/bibliography"/>
  </ds:schemaRefs>
</ds:datastoreItem>
</file>

<file path=customXml/itemProps3.xml><?xml version="1.0" encoding="utf-8"?>
<ds:datastoreItem xmlns:ds="http://schemas.openxmlformats.org/officeDocument/2006/customXml" ds:itemID="{53680564-E7D6-4E19-BAB6-89332C5C4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AC413C-B05D-42D0-B37F-CDF17CE7D8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193</Words>
  <Characters>1103</Characters>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2025-01-14T14:49:00Z</dcterms:created>
  <dcterms:modified xsi:type="dcterms:W3CDTF">2025-01-23T02:53:00Z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MediaServiceImageTags">
    <vt:lpwstr/>
  </property>
</Properties>
</file>