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0BA207"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7453D9C8" w14:textId="77777777" w:rsidR="00CB00DF" w:rsidRDefault="00CB00DF" w:rsidP="00CB00DF">
      <w:pPr>
        <w:spacing w:line="440" w:lineRule="exact"/>
        <w:rPr>
          <w:rFonts w:ascii="黑体" w:eastAsia="黑体" w:hAnsi="Times New Roman"/>
          <w:sz w:val="28"/>
          <w:szCs w:val="28"/>
        </w:rPr>
      </w:pPr>
    </w:p>
    <w:p w14:paraId="4FD6B56E"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6D9F68AF" w14:textId="77777777" w:rsidTr="00CB00DF">
        <w:tc>
          <w:tcPr>
            <w:tcW w:w="1809" w:type="dxa"/>
            <w:shd w:val="clear" w:color="auto" w:fill="D9D9D9"/>
            <w:vAlign w:val="center"/>
          </w:tcPr>
          <w:p w14:paraId="7AFB2CD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0F3A220" w14:textId="3F08C84C" w:rsidR="00CB00DF" w:rsidRPr="00CB00DF" w:rsidRDefault="00FB342D" w:rsidP="006908A4">
            <w:pPr>
              <w:spacing w:line="500" w:lineRule="exact"/>
              <w:rPr>
                <w:rFonts w:ascii="仿宋" w:eastAsia="仿宋" w:hAnsi="仿宋" w:cs="宋体"/>
                <w:color w:val="333333"/>
                <w:kern w:val="0"/>
                <w:sz w:val="24"/>
                <w:szCs w:val="24"/>
                <w:bdr w:val="none" w:sz="0" w:space="0" w:color="auto" w:frame="1"/>
              </w:rPr>
            </w:pPr>
            <w:r w:rsidRPr="00FB342D">
              <w:rPr>
                <w:rFonts w:ascii="仿宋" w:eastAsia="仿宋" w:hAnsi="仿宋" w:cs="宋体" w:hint="eastAsia"/>
                <w:color w:val="333333"/>
                <w:kern w:val="0"/>
                <w:sz w:val="24"/>
                <w:szCs w:val="24"/>
                <w:bdr w:val="none" w:sz="0" w:space="0" w:color="auto" w:frame="1"/>
              </w:rPr>
              <w:t>上饶市城市建设投资开发集团有限公司收购福建省闽发铝业股份有限公司股权案</w:t>
            </w:r>
          </w:p>
        </w:tc>
      </w:tr>
      <w:tr w:rsidR="00CB00DF" w:rsidRPr="00CB00DF" w14:paraId="1BC15376" w14:textId="77777777" w:rsidTr="00CB00DF">
        <w:trPr>
          <w:trHeight w:val="993"/>
        </w:trPr>
        <w:tc>
          <w:tcPr>
            <w:tcW w:w="1809" w:type="dxa"/>
            <w:shd w:val="clear" w:color="auto" w:fill="D9D9D9"/>
            <w:vAlign w:val="center"/>
          </w:tcPr>
          <w:p w14:paraId="177FF138"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255BDB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09FB8BB0" w14:textId="54510FF4" w:rsidR="00192D6D" w:rsidRDefault="00FB342D" w:rsidP="00FB342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股权</w:t>
            </w:r>
            <w:proofErr w:type="gramStart"/>
            <w:r>
              <w:rPr>
                <w:rFonts w:ascii="仿宋" w:eastAsia="仿宋" w:hAnsi="仿宋" w:cs="宋体" w:hint="eastAsia"/>
                <w:color w:val="333333"/>
                <w:kern w:val="0"/>
                <w:sz w:val="24"/>
                <w:szCs w:val="24"/>
                <w:bdr w:val="none" w:sz="0" w:space="0" w:color="auto" w:frame="1"/>
              </w:rPr>
              <w:t>出让方黄天火</w:t>
            </w:r>
            <w:proofErr w:type="gramEnd"/>
            <w:r>
              <w:rPr>
                <w:rFonts w:ascii="仿宋" w:eastAsia="仿宋" w:hAnsi="仿宋" w:cs="宋体" w:hint="eastAsia"/>
                <w:color w:val="333333"/>
                <w:kern w:val="0"/>
                <w:sz w:val="24"/>
                <w:szCs w:val="24"/>
                <w:bdr w:val="none" w:sz="0" w:space="0" w:color="auto" w:frame="1"/>
              </w:rPr>
              <w:t>等</w:t>
            </w:r>
            <w:r w:rsidR="00192D6D">
              <w:rPr>
                <w:rFonts w:ascii="仿宋" w:eastAsia="仿宋" w:hAnsi="仿宋" w:cs="宋体" w:hint="eastAsia"/>
                <w:color w:val="333333"/>
                <w:kern w:val="0"/>
                <w:sz w:val="24"/>
                <w:szCs w:val="24"/>
                <w:bdr w:val="none" w:sz="0" w:space="0" w:color="auto" w:frame="1"/>
              </w:rPr>
              <w:t>六</w:t>
            </w:r>
            <w:r>
              <w:rPr>
                <w:rFonts w:ascii="仿宋" w:eastAsia="仿宋" w:hAnsi="仿宋" w:cs="宋体" w:hint="eastAsia"/>
                <w:color w:val="333333"/>
                <w:kern w:val="0"/>
                <w:sz w:val="24"/>
                <w:szCs w:val="24"/>
                <w:bdr w:val="none" w:sz="0" w:space="0" w:color="auto" w:frame="1"/>
              </w:rPr>
              <w:t>人分两批</w:t>
            </w:r>
            <w:proofErr w:type="gramStart"/>
            <w:r>
              <w:rPr>
                <w:rFonts w:ascii="仿宋" w:eastAsia="仿宋" w:hAnsi="仿宋" w:cs="宋体" w:hint="eastAsia"/>
                <w:color w:val="333333"/>
                <w:kern w:val="0"/>
                <w:sz w:val="24"/>
                <w:szCs w:val="24"/>
                <w:bdr w:val="none" w:sz="0" w:space="0" w:color="auto" w:frame="1"/>
              </w:rPr>
              <w:t>向</w:t>
            </w:r>
            <w:r w:rsidR="00192D6D" w:rsidRPr="00192D6D">
              <w:rPr>
                <w:rFonts w:ascii="仿宋" w:eastAsia="仿宋" w:hAnsi="仿宋" w:cs="宋体" w:hint="eastAsia"/>
                <w:color w:val="333333"/>
                <w:kern w:val="0"/>
                <w:sz w:val="24"/>
                <w:szCs w:val="24"/>
                <w:bdr w:val="none" w:sz="0" w:space="0" w:color="auto" w:frame="1"/>
              </w:rPr>
              <w:t>上饶市城市</w:t>
            </w:r>
            <w:proofErr w:type="gramEnd"/>
            <w:r w:rsidR="00192D6D" w:rsidRPr="00192D6D">
              <w:rPr>
                <w:rFonts w:ascii="仿宋" w:eastAsia="仿宋" w:hAnsi="仿宋" w:cs="宋体" w:hint="eastAsia"/>
                <w:color w:val="333333"/>
                <w:kern w:val="0"/>
                <w:sz w:val="24"/>
                <w:szCs w:val="24"/>
                <w:bdr w:val="none" w:sz="0" w:space="0" w:color="auto" w:frame="1"/>
              </w:rPr>
              <w:t>建设投资开发集团有限公司</w:t>
            </w:r>
            <w:r w:rsidR="00192D6D">
              <w:rPr>
                <w:rFonts w:ascii="仿宋" w:eastAsia="仿宋" w:hAnsi="仿宋" w:cs="宋体" w:hint="eastAsia"/>
                <w:color w:val="333333"/>
                <w:kern w:val="0"/>
                <w:sz w:val="24"/>
                <w:szCs w:val="24"/>
                <w:bdr w:val="none" w:sz="0" w:space="0" w:color="auto" w:frame="1"/>
              </w:rPr>
              <w:t>（简称“上饶城投”）合计</w:t>
            </w:r>
            <w:r>
              <w:rPr>
                <w:rFonts w:ascii="仿宋" w:eastAsia="仿宋" w:hAnsi="仿宋" w:cs="宋体" w:hint="eastAsia"/>
                <w:color w:val="333333"/>
                <w:kern w:val="0"/>
                <w:sz w:val="24"/>
                <w:szCs w:val="24"/>
                <w:bdr w:val="none" w:sz="0" w:space="0" w:color="auto" w:frame="1"/>
              </w:rPr>
              <w:t>转让</w:t>
            </w:r>
            <w:r w:rsidR="00192D6D" w:rsidRPr="00192D6D">
              <w:rPr>
                <w:rFonts w:ascii="仿宋" w:eastAsia="仿宋" w:hAnsi="仿宋" w:cs="宋体" w:hint="eastAsia"/>
                <w:color w:val="333333"/>
                <w:kern w:val="0"/>
                <w:sz w:val="24"/>
                <w:szCs w:val="24"/>
                <w:bdr w:val="none" w:sz="0" w:space="0" w:color="auto" w:frame="1"/>
              </w:rPr>
              <w:t>福建省闽发铝业股份有限公司</w:t>
            </w:r>
            <w:r w:rsidR="00192D6D">
              <w:rPr>
                <w:rFonts w:ascii="仿宋" w:eastAsia="仿宋" w:hAnsi="仿宋" w:cs="宋体" w:hint="eastAsia"/>
                <w:color w:val="333333"/>
                <w:kern w:val="0"/>
                <w:sz w:val="24"/>
                <w:szCs w:val="24"/>
                <w:bdr w:val="none" w:sz="0" w:space="0" w:color="auto" w:frame="1"/>
              </w:rPr>
              <w:t>（简称“闽发铝业”）</w:t>
            </w:r>
            <w:r w:rsidRPr="00FB342D">
              <w:rPr>
                <w:rFonts w:ascii="仿宋" w:eastAsia="仿宋" w:hAnsi="仿宋" w:cs="宋体"/>
                <w:color w:val="333333"/>
                <w:kern w:val="0"/>
                <w:sz w:val="24"/>
                <w:szCs w:val="24"/>
                <w:bdr w:val="none" w:sz="0" w:space="0" w:color="auto" w:frame="1"/>
              </w:rPr>
              <w:t>29.99%</w:t>
            </w:r>
            <w:r>
              <w:rPr>
                <w:rFonts w:ascii="仿宋" w:eastAsia="仿宋" w:hAnsi="仿宋" w:cs="宋体" w:hint="eastAsia"/>
                <w:color w:val="333333"/>
                <w:kern w:val="0"/>
                <w:sz w:val="24"/>
                <w:szCs w:val="24"/>
                <w:bdr w:val="none" w:sz="0" w:space="0" w:color="auto" w:frame="1"/>
              </w:rPr>
              <w:t>的股份，并签署《股份转让协议》及</w:t>
            </w:r>
            <w:r w:rsidRPr="00FB342D">
              <w:rPr>
                <w:rFonts w:ascii="仿宋" w:eastAsia="仿宋" w:hAnsi="仿宋" w:cs="宋体" w:hint="eastAsia"/>
                <w:color w:val="333333"/>
                <w:kern w:val="0"/>
                <w:sz w:val="24"/>
                <w:szCs w:val="24"/>
                <w:bdr w:val="none" w:sz="0" w:space="0" w:color="auto" w:frame="1"/>
              </w:rPr>
              <w:t>《表决权放弃承诺函》</w:t>
            </w:r>
            <w:r w:rsidR="00192D6D">
              <w:rPr>
                <w:rFonts w:ascii="仿宋" w:eastAsia="仿宋" w:hAnsi="仿宋" w:cs="宋体" w:hint="eastAsia"/>
                <w:color w:val="333333"/>
                <w:kern w:val="0"/>
                <w:sz w:val="24"/>
                <w:szCs w:val="24"/>
                <w:bdr w:val="none" w:sz="0" w:space="0" w:color="auto" w:frame="1"/>
              </w:rPr>
              <w:t>。</w:t>
            </w:r>
            <w:r w:rsidR="00192D6D" w:rsidRPr="00192D6D">
              <w:rPr>
                <w:rFonts w:ascii="仿宋" w:eastAsia="仿宋" w:hAnsi="仿宋" w:cs="宋体" w:hint="eastAsia"/>
                <w:color w:val="333333"/>
                <w:kern w:val="0"/>
                <w:sz w:val="24"/>
                <w:szCs w:val="24"/>
                <w:bdr w:val="none" w:sz="0" w:space="0" w:color="auto" w:frame="1"/>
              </w:rPr>
              <w:t>自第一批股份转让交割完成且完成改组</w:t>
            </w:r>
            <w:r w:rsidR="00192D6D">
              <w:rPr>
                <w:rFonts w:ascii="仿宋" w:eastAsia="仿宋" w:hAnsi="仿宋" w:cs="宋体" w:hint="eastAsia"/>
                <w:color w:val="333333"/>
                <w:kern w:val="0"/>
                <w:sz w:val="24"/>
                <w:szCs w:val="24"/>
                <w:bdr w:val="none" w:sz="0" w:space="0" w:color="auto" w:frame="1"/>
              </w:rPr>
              <w:t>闽发铝业</w:t>
            </w:r>
            <w:r w:rsidR="00192D6D" w:rsidRPr="00192D6D">
              <w:rPr>
                <w:rFonts w:ascii="仿宋" w:eastAsia="仿宋" w:hAnsi="仿宋" w:cs="宋体" w:hint="eastAsia"/>
                <w:color w:val="333333"/>
                <w:kern w:val="0"/>
                <w:sz w:val="24"/>
                <w:szCs w:val="24"/>
                <w:bdr w:val="none" w:sz="0" w:space="0" w:color="auto" w:frame="1"/>
              </w:rPr>
              <w:t>董事会、监事会之日起十八个自然月期间，</w:t>
            </w:r>
            <w:r w:rsidR="00066B49">
              <w:rPr>
                <w:rFonts w:ascii="仿宋" w:eastAsia="仿宋" w:hAnsi="仿宋" w:cs="宋体" w:hint="eastAsia"/>
                <w:color w:val="333333"/>
                <w:kern w:val="0"/>
                <w:sz w:val="24"/>
                <w:szCs w:val="24"/>
                <w:bdr w:val="none" w:sz="0" w:space="0" w:color="auto" w:frame="1"/>
              </w:rPr>
              <w:t>黄天火等六人</w:t>
            </w:r>
            <w:r w:rsidR="00192D6D" w:rsidRPr="00192D6D">
              <w:rPr>
                <w:rFonts w:ascii="仿宋" w:eastAsia="仿宋" w:hAnsi="仿宋" w:cs="宋体" w:hint="eastAsia"/>
                <w:color w:val="333333"/>
                <w:kern w:val="0"/>
                <w:sz w:val="24"/>
                <w:szCs w:val="24"/>
                <w:bdr w:val="none" w:sz="0" w:space="0" w:color="auto" w:frame="1"/>
              </w:rPr>
              <w:t>放弃行使其所持全部</w:t>
            </w:r>
            <w:r w:rsidR="00192D6D">
              <w:rPr>
                <w:rFonts w:ascii="仿宋" w:eastAsia="仿宋" w:hAnsi="仿宋" w:cs="宋体" w:hint="eastAsia"/>
                <w:color w:val="333333"/>
                <w:kern w:val="0"/>
                <w:sz w:val="24"/>
                <w:szCs w:val="24"/>
                <w:bdr w:val="none" w:sz="0" w:space="0" w:color="auto" w:frame="1"/>
              </w:rPr>
              <w:t>闽发铝业</w:t>
            </w:r>
            <w:r w:rsidR="00192D6D" w:rsidRPr="00192D6D">
              <w:rPr>
                <w:rFonts w:ascii="仿宋" w:eastAsia="仿宋" w:hAnsi="仿宋" w:cs="宋体" w:hint="eastAsia"/>
                <w:color w:val="333333"/>
                <w:kern w:val="0"/>
                <w:sz w:val="24"/>
                <w:szCs w:val="24"/>
                <w:bdr w:val="none" w:sz="0" w:space="0" w:color="auto" w:frame="1"/>
              </w:rPr>
              <w:t>股份对应的表决权。</w:t>
            </w:r>
          </w:p>
          <w:p w14:paraId="4E5B3306" w14:textId="507075CF" w:rsidR="00CB00DF" w:rsidRPr="00CB00DF" w:rsidRDefault="00192D6D" w:rsidP="00FB342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交易</w:t>
            </w:r>
            <w:r w:rsidR="00FB342D">
              <w:rPr>
                <w:rFonts w:ascii="仿宋" w:eastAsia="仿宋" w:hAnsi="仿宋" w:cs="宋体" w:hint="eastAsia"/>
                <w:color w:val="333333"/>
                <w:kern w:val="0"/>
                <w:sz w:val="24"/>
                <w:szCs w:val="24"/>
                <w:bdr w:val="none" w:sz="0" w:space="0" w:color="auto" w:frame="1"/>
              </w:rPr>
              <w:t>完成后，上饶</w:t>
            </w:r>
            <w:proofErr w:type="gramStart"/>
            <w:r w:rsidR="00FB342D">
              <w:rPr>
                <w:rFonts w:ascii="仿宋" w:eastAsia="仿宋" w:hAnsi="仿宋" w:cs="宋体" w:hint="eastAsia"/>
                <w:color w:val="333333"/>
                <w:kern w:val="0"/>
                <w:sz w:val="24"/>
                <w:szCs w:val="24"/>
                <w:bdr w:val="none" w:sz="0" w:space="0" w:color="auto" w:frame="1"/>
              </w:rPr>
              <w:t>城投将持有</w:t>
            </w:r>
            <w:proofErr w:type="gramEnd"/>
            <w:r w:rsidR="00FB342D">
              <w:rPr>
                <w:rFonts w:ascii="仿宋" w:eastAsia="仿宋" w:hAnsi="仿宋" w:cs="宋体" w:hint="eastAsia"/>
                <w:color w:val="333333"/>
                <w:kern w:val="0"/>
                <w:sz w:val="24"/>
                <w:szCs w:val="24"/>
                <w:bdr w:val="none" w:sz="0" w:space="0" w:color="auto" w:frame="1"/>
              </w:rPr>
              <w:t>闽发铝业2</w:t>
            </w:r>
            <w:r w:rsidR="00FB342D">
              <w:rPr>
                <w:rFonts w:ascii="仿宋" w:eastAsia="仿宋" w:hAnsi="仿宋" w:cs="宋体"/>
                <w:color w:val="333333"/>
                <w:kern w:val="0"/>
                <w:sz w:val="24"/>
                <w:szCs w:val="24"/>
                <w:bdr w:val="none" w:sz="0" w:space="0" w:color="auto" w:frame="1"/>
              </w:rPr>
              <w:t>9</w:t>
            </w:r>
            <w:r w:rsidR="00FB342D">
              <w:rPr>
                <w:rFonts w:ascii="仿宋" w:eastAsia="仿宋" w:hAnsi="仿宋" w:cs="宋体" w:hint="eastAsia"/>
                <w:color w:val="333333"/>
                <w:kern w:val="0"/>
                <w:sz w:val="24"/>
                <w:szCs w:val="24"/>
                <w:bdr w:val="none" w:sz="0" w:space="0" w:color="auto" w:frame="1"/>
              </w:rPr>
              <w:t>.</w:t>
            </w:r>
            <w:r w:rsidR="00FB342D">
              <w:rPr>
                <w:rFonts w:ascii="仿宋" w:eastAsia="仿宋" w:hAnsi="仿宋" w:cs="宋体"/>
                <w:color w:val="333333"/>
                <w:kern w:val="0"/>
                <w:sz w:val="24"/>
                <w:szCs w:val="24"/>
                <w:bdr w:val="none" w:sz="0" w:space="0" w:color="auto" w:frame="1"/>
              </w:rPr>
              <w:t>99</w:t>
            </w:r>
            <w:r w:rsidR="00FB342D">
              <w:rPr>
                <w:rFonts w:ascii="仿宋" w:eastAsia="仿宋" w:hAnsi="仿宋" w:cs="宋体" w:hint="eastAsia"/>
                <w:color w:val="333333"/>
                <w:kern w:val="0"/>
                <w:sz w:val="24"/>
                <w:szCs w:val="24"/>
                <w:bdr w:val="none" w:sz="0" w:space="0" w:color="auto" w:frame="1"/>
              </w:rPr>
              <w:t>%的股份，拥有对闽发铝业的控制权。</w:t>
            </w:r>
          </w:p>
        </w:tc>
      </w:tr>
      <w:tr w:rsidR="00CB00DF" w:rsidRPr="00CB00DF" w14:paraId="7C27C319" w14:textId="77777777" w:rsidTr="00CB00DF">
        <w:trPr>
          <w:trHeight w:val="468"/>
        </w:trPr>
        <w:tc>
          <w:tcPr>
            <w:tcW w:w="1809" w:type="dxa"/>
            <w:vMerge w:val="restart"/>
            <w:shd w:val="clear" w:color="auto" w:fill="D9D9D9"/>
            <w:vAlign w:val="center"/>
          </w:tcPr>
          <w:p w14:paraId="62AB8705"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6967AAA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490A885B" w14:textId="22098F57" w:rsidR="00CB00DF" w:rsidRPr="00CB00DF" w:rsidRDefault="00FB342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上饶城投</w:t>
            </w:r>
          </w:p>
        </w:tc>
        <w:tc>
          <w:tcPr>
            <w:tcW w:w="5153" w:type="dxa"/>
          </w:tcPr>
          <w:p w14:paraId="341DF409" w14:textId="7FA063BF" w:rsidR="00CB00DF" w:rsidRPr="00CB00DF" w:rsidRDefault="0091647B" w:rsidP="00A97E9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上饶城投系</w:t>
            </w:r>
            <w:r w:rsidR="00A97E9A">
              <w:rPr>
                <w:rFonts w:ascii="仿宋" w:eastAsia="仿宋" w:hAnsi="仿宋" w:cs="宋体" w:hint="eastAsia"/>
                <w:color w:val="333333"/>
                <w:kern w:val="0"/>
                <w:sz w:val="24"/>
                <w:szCs w:val="24"/>
                <w:bdr w:val="none" w:sz="0" w:space="0" w:color="auto" w:frame="1"/>
              </w:rPr>
              <w:t>上饶市国资委控股的城投公司，</w:t>
            </w:r>
            <w:r w:rsidR="00A97E9A" w:rsidRPr="00A97E9A">
              <w:rPr>
                <w:rFonts w:ascii="仿宋" w:eastAsia="仿宋" w:hAnsi="仿宋" w:cs="宋体" w:hint="eastAsia"/>
                <w:color w:val="333333"/>
                <w:kern w:val="0"/>
                <w:sz w:val="24"/>
                <w:szCs w:val="24"/>
                <w:bdr w:val="none" w:sz="0" w:space="0" w:color="auto" w:frame="1"/>
              </w:rPr>
              <w:t>承担上饶市城市基础设施项目投资建设任务，负责城市基础设施资产的营运及相关开发。</w:t>
            </w:r>
          </w:p>
        </w:tc>
      </w:tr>
      <w:tr w:rsidR="00CB00DF" w:rsidRPr="00CB00DF" w14:paraId="1A6CFAEE" w14:textId="77777777" w:rsidTr="00CB00DF">
        <w:trPr>
          <w:trHeight w:val="404"/>
        </w:trPr>
        <w:tc>
          <w:tcPr>
            <w:tcW w:w="1809" w:type="dxa"/>
            <w:vMerge/>
            <w:shd w:val="clear" w:color="auto" w:fill="D9D9D9"/>
            <w:vAlign w:val="center"/>
          </w:tcPr>
          <w:p w14:paraId="1C74A16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15FAD20" w14:textId="4DECB7B8" w:rsidR="00CB00DF" w:rsidRPr="00CB00DF" w:rsidRDefault="00FB342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闽发铝业</w:t>
            </w:r>
          </w:p>
        </w:tc>
        <w:tc>
          <w:tcPr>
            <w:tcW w:w="5153" w:type="dxa"/>
          </w:tcPr>
          <w:p w14:paraId="0E8188E2" w14:textId="246DBFFE" w:rsidR="00CB00DF" w:rsidRPr="00CB00DF" w:rsidRDefault="00A97E9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闽发铝业系深交所上市公司，</w:t>
            </w:r>
            <w:r w:rsidRPr="00A97E9A">
              <w:rPr>
                <w:rFonts w:ascii="仿宋" w:eastAsia="仿宋" w:hAnsi="仿宋" w:cs="宋体" w:hint="eastAsia"/>
                <w:color w:val="333333"/>
                <w:kern w:val="0"/>
                <w:sz w:val="24"/>
                <w:szCs w:val="24"/>
                <w:bdr w:val="none" w:sz="0" w:space="0" w:color="auto" w:frame="1"/>
              </w:rPr>
              <w:t>主营业务和产品主要是建筑铝型材、工业铝型材和建筑铝模板的研发、生产、销售。</w:t>
            </w:r>
          </w:p>
        </w:tc>
      </w:tr>
      <w:tr w:rsidR="00CB00DF" w:rsidRPr="00CB00DF" w14:paraId="6AFF7B29" w14:textId="77777777" w:rsidTr="00CB00DF">
        <w:trPr>
          <w:trHeight w:val="279"/>
        </w:trPr>
        <w:tc>
          <w:tcPr>
            <w:tcW w:w="1809" w:type="dxa"/>
            <w:vMerge w:val="restart"/>
            <w:shd w:val="clear" w:color="auto" w:fill="D9D9D9"/>
            <w:vAlign w:val="center"/>
          </w:tcPr>
          <w:p w14:paraId="2950675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0C992A7B" w14:textId="5818C094" w:rsidR="00CB00DF" w:rsidRPr="00CB00DF" w:rsidRDefault="00E37897" w:rsidP="006908A4">
            <w:pPr>
              <w:spacing w:line="500" w:lineRule="exact"/>
              <w:rPr>
                <w:rFonts w:ascii="仿宋" w:eastAsia="仿宋" w:hAnsi="仿宋" w:cs="宋体"/>
                <w:color w:val="333333"/>
                <w:kern w:val="0"/>
                <w:sz w:val="24"/>
                <w:szCs w:val="24"/>
                <w:bdr w:val="none" w:sz="0" w:space="0" w:color="auto" w:frame="1"/>
              </w:rPr>
            </w:pPr>
            <w:r>
              <w:rPr>
                <w:rFonts w:ascii="Times New Roman" w:eastAsia="仿宋_GB2312" w:hAnsi="Times New Roman"/>
                <w:bCs/>
                <w:sz w:val="24"/>
                <w:szCs w:val="24"/>
              </w:rPr>
              <w:sym w:font="Wingdings" w:char="F0FE"/>
            </w:r>
            <w:r w:rsidRPr="00CB00DF">
              <w:rPr>
                <w:rFonts w:ascii="仿宋" w:eastAsia="仿宋" w:hAnsi="仿宋" w:cs="宋体" w:hint="eastAsia"/>
                <w:color w:val="333333"/>
                <w:kern w:val="0"/>
                <w:sz w:val="24"/>
                <w:szCs w:val="24"/>
                <w:bdr w:val="none" w:sz="0" w:space="0" w:color="auto" w:frame="1"/>
              </w:rPr>
              <w:t xml:space="preserve"> </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61BC4685" w14:textId="77777777" w:rsidTr="00CB00DF">
        <w:trPr>
          <w:trHeight w:val="330"/>
        </w:trPr>
        <w:tc>
          <w:tcPr>
            <w:tcW w:w="1809" w:type="dxa"/>
            <w:vMerge/>
            <w:shd w:val="clear" w:color="auto" w:fill="D9D9D9"/>
            <w:vAlign w:val="center"/>
          </w:tcPr>
          <w:p w14:paraId="6624C2D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B547293" w14:textId="15CE5599" w:rsidR="00CB00DF" w:rsidRPr="00CB00DF" w:rsidRDefault="00DF25D9"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5F25F0">
              <w:rPr>
                <w:rFonts w:ascii="Times New Roman" w:eastAsia="仿宋_GB2312" w:hAnsi="Times New Roman"/>
                <w:bCs/>
                <w:sz w:val="24"/>
                <w:szCs w:val="24"/>
              </w:rPr>
              <w:t xml:space="preserve"> </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75F56709" w14:textId="77777777" w:rsidTr="00CB00DF">
        <w:trPr>
          <w:trHeight w:val="285"/>
        </w:trPr>
        <w:tc>
          <w:tcPr>
            <w:tcW w:w="1809" w:type="dxa"/>
            <w:vMerge/>
            <w:shd w:val="clear" w:color="auto" w:fill="D9D9D9"/>
            <w:vAlign w:val="center"/>
          </w:tcPr>
          <w:p w14:paraId="0EEA435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C26577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69737791" w14:textId="77777777" w:rsidTr="00CB00DF">
        <w:trPr>
          <w:trHeight w:val="870"/>
        </w:trPr>
        <w:tc>
          <w:tcPr>
            <w:tcW w:w="1809" w:type="dxa"/>
            <w:vMerge/>
            <w:shd w:val="clear" w:color="auto" w:fill="D9D9D9"/>
            <w:vAlign w:val="center"/>
          </w:tcPr>
          <w:p w14:paraId="627EAE1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0E8AE4C"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58CE8FFF" w14:textId="77777777" w:rsidTr="00CB00DF">
        <w:trPr>
          <w:trHeight w:val="264"/>
        </w:trPr>
        <w:tc>
          <w:tcPr>
            <w:tcW w:w="1809" w:type="dxa"/>
            <w:vMerge/>
            <w:shd w:val="clear" w:color="auto" w:fill="D9D9D9"/>
            <w:vAlign w:val="center"/>
          </w:tcPr>
          <w:p w14:paraId="0DBEED5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0A3D92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14:paraId="446170DD" w14:textId="77777777" w:rsidTr="00CB00DF">
        <w:trPr>
          <w:trHeight w:val="345"/>
        </w:trPr>
        <w:tc>
          <w:tcPr>
            <w:tcW w:w="1809" w:type="dxa"/>
            <w:vMerge/>
            <w:shd w:val="clear" w:color="auto" w:fill="D9D9D9"/>
            <w:vAlign w:val="center"/>
          </w:tcPr>
          <w:p w14:paraId="077719F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F2B8A3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A2096C6" w14:textId="77777777" w:rsidTr="00CB00DF">
        <w:tc>
          <w:tcPr>
            <w:tcW w:w="1809" w:type="dxa"/>
            <w:shd w:val="clear" w:color="auto" w:fill="D9D9D9"/>
            <w:vAlign w:val="center"/>
          </w:tcPr>
          <w:p w14:paraId="693399E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7A873B60" w14:textId="7589F1BE" w:rsidR="00CB00DF" w:rsidRDefault="00192D6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相关市场界定以及市场份额：</w:t>
            </w:r>
          </w:p>
          <w:p w14:paraId="1BB66615" w14:textId="403CA4C6" w:rsidR="005F25F0" w:rsidRDefault="00BB0D2B"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w:t>
            </w:r>
            <w:r w:rsidR="005F25F0" w:rsidRPr="005F25F0">
              <w:rPr>
                <w:rFonts w:ascii="仿宋" w:eastAsia="仿宋" w:hAnsi="仿宋" w:cs="宋体" w:hint="eastAsia"/>
                <w:color w:val="333333"/>
                <w:kern w:val="0"/>
                <w:sz w:val="24"/>
                <w:szCs w:val="24"/>
                <w:bdr w:val="none" w:sz="0" w:space="0" w:color="auto" w:frame="1"/>
              </w:rPr>
              <w:t>建筑铝型材市场</w:t>
            </w:r>
          </w:p>
          <w:p w14:paraId="0C98042D" w14:textId="718A09F5" w:rsidR="005F25F0" w:rsidRDefault="005F25F0" w:rsidP="005F25F0">
            <w:pPr>
              <w:spacing w:line="500" w:lineRule="exact"/>
              <w:rPr>
                <w:rFonts w:ascii="仿宋" w:eastAsia="仿宋" w:hAnsi="仿宋" w:cs="宋体"/>
                <w:kern w:val="0"/>
                <w:sz w:val="24"/>
                <w:szCs w:val="24"/>
              </w:rPr>
            </w:pPr>
            <w:r>
              <w:rPr>
                <w:rFonts w:ascii="仿宋" w:eastAsia="仿宋" w:hAnsi="仿宋" w:cs="宋体" w:hint="eastAsia"/>
                <w:kern w:val="0"/>
                <w:sz w:val="24"/>
                <w:szCs w:val="24"/>
              </w:rPr>
              <w:t>上饶城投：</w:t>
            </w:r>
            <w:r w:rsidR="00DF25D9">
              <w:rPr>
                <w:rFonts w:ascii="仿宋" w:eastAsia="仿宋" w:hAnsi="仿宋" w:cs="宋体" w:hint="eastAsia"/>
                <w:kern w:val="0"/>
                <w:sz w:val="24"/>
                <w:szCs w:val="24"/>
              </w:rPr>
              <w:t>[0%-5%]</w:t>
            </w:r>
          </w:p>
          <w:p w14:paraId="3EE4DCD5" w14:textId="732717AC" w:rsidR="005F25F0" w:rsidRDefault="005F25F0" w:rsidP="005F25F0">
            <w:pPr>
              <w:spacing w:line="500" w:lineRule="exact"/>
              <w:rPr>
                <w:rFonts w:ascii="仿宋" w:eastAsia="仿宋" w:hAnsi="仿宋" w:cs="宋体"/>
                <w:kern w:val="0"/>
                <w:sz w:val="24"/>
                <w:szCs w:val="24"/>
              </w:rPr>
            </w:pPr>
            <w:r>
              <w:rPr>
                <w:rFonts w:ascii="仿宋" w:eastAsia="仿宋" w:hAnsi="仿宋" w:cs="宋体" w:hint="eastAsia"/>
                <w:kern w:val="0"/>
                <w:sz w:val="24"/>
                <w:szCs w:val="24"/>
              </w:rPr>
              <w:t>闽发铝业：[0%-5%]</w:t>
            </w:r>
          </w:p>
          <w:p w14:paraId="7BA37DDE" w14:textId="26FCC639" w:rsidR="00192D6D" w:rsidRPr="005F25F0" w:rsidRDefault="00DF25D9" w:rsidP="003F7FA5">
            <w:pPr>
              <w:spacing w:line="500" w:lineRule="exact"/>
              <w:rPr>
                <w:rFonts w:ascii="仿宋" w:eastAsia="仿宋" w:hAnsi="仿宋" w:cs="宋体" w:hint="eastAsia"/>
                <w:kern w:val="0"/>
                <w:sz w:val="24"/>
                <w:szCs w:val="24"/>
              </w:rPr>
            </w:pPr>
            <w:r w:rsidRPr="00DF25D9">
              <w:rPr>
                <w:rFonts w:ascii="仿宋" w:eastAsia="仿宋" w:hAnsi="仿宋" w:cs="宋体" w:hint="eastAsia"/>
                <w:kern w:val="0"/>
                <w:sz w:val="24"/>
                <w:szCs w:val="24"/>
              </w:rPr>
              <w:t>上饶城投及闽发铝业合计：[0%-5%]</w:t>
            </w:r>
            <w:bookmarkStart w:id="0" w:name="_GoBack"/>
            <w:bookmarkEnd w:id="0"/>
          </w:p>
        </w:tc>
      </w:tr>
    </w:tbl>
    <w:p w14:paraId="5F44FDC6" w14:textId="77777777" w:rsidR="00CB00DF" w:rsidRDefault="00CB00DF" w:rsidP="00CB00DF">
      <w:pPr>
        <w:snapToGrid w:val="0"/>
        <w:spacing w:line="240" w:lineRule="exact"/>
        <w:jc w:val="left"/>
        <w:rPr>
          <w:rFonts w:ascii="楷体_GB2312" w:eastAsia="楷体_GB2312" w:hAnsi="宋体"/>
          <w:sz w:val="24"/>
          <w:szCs w:val="24"/>
        </w:rPr>
      </w:pPr>
    </w:p>
    <w:p w14:paraId="223C9FC3" w14:textId="77777777" w:rsidR="000F5E24" w:rsidRPr="00CB00DF" w:rsidRDefault="004A5E1A"/>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C2228" w14:textId="77777777" w:rsidR="004A5E1A" w:rsidRDefault="004A5E1A" w:rsidP="00E37897">
      <w:r>
        <w:separator/>
      </w:r>
    </w:p>
  </w:endnote>
  <w:endnote w:type="continuationSeparator" w:id="0">
    <w:p w14:paraId="478E7788" w14:textId="77777777" w:rsidR="004A5E1A" w:rsidRDefault="004A5E1A" w:rsidP="00E37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52318" w14:textId="77777777" w:rsidR="004A5E1A" w:rsidRDefault="004A5E1A" w:rsidP="00E37897">
      <w:r>
        <w:separator/>
      </w:r>
    </w:p>
  </w:footnote>
  <w:footnote w:type="continuationSeparator" w:id="0">
    <w:p w14:paraId="00E2CF9E" w14:textId="77777777" w:rsidR="004A5E1A" w:rsidRDefault="004A5E1A" w:rsidP="00E378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66B49"/>
    <w:rsid w:val="000D7EBA"/>
    <w:rsid w:val="001164CD"/>
    <w:rsid w:val="00155717"/>
    <w:rsid w:val="001837A3"/>
    <w:rsid w:val="00192D6D"/>
    <w:rsid w:val="003C0AEB"/>
    <w:rsid w:val="003F7FA5"/>
    <w:rsid w:val="004A5E1A"/>
    <w:rsid w:val="004F7688"/>
    <w:rsid w:val="005F25F0"/>
    <w:rsid w:val="006467D8"/>
    <w:rsid w:val="006A531B"/>
    <w:rsid w:val="006F7693"/>
    <w:rsid w:val="00710140"/>
    <w:rsid w:val="007F2275"/>
    <w:rsid w:val="00915F0F"/>
    <w:rsid w:val="0091647B"/>
    <w:rsid w:val="009532DF"/>
    <w:rsid w:val="00997019"/>
    <w:rsid w:val="009A5029"/>
    <w:rsid w:val="009D38D5"/>
    <w:rsid w:val="00A53F26"/>
    <w:rsid w:val="00A97E9A"/>
    <w:rsid w:val="00AA0CC5"/>
    <w:rsid w:val="00AF1FA2"/>
    <w:rsid w:val="00B16AFE"/>
    <w:rsid w:val="00B65DD5"/>
    <w:rsid w:val="00BB0D2B"/>
    <w:rsid w:val="00BC2520"/>
    <w:rsid w:val="00BD10B6"/>
    <w:rsid w:val="00C07076"/>
    <w:rsid w:val="00CB00DF"/>
    <w:rsid w:val="00D73C72"/>
    <w:rsid w:val="00DF25D9"/>
    <w:rsid w:val="00E0592B"/>
    <w:rsid w:val="00E31738"/>
    <w:rsid w:val="00E37897"/>
    <w:rsid w:val="00E86786"/>
    <w:rsid w:val="00EB71BC"/>
    <w:rsid w:val="00ED2F80"/>
    <w:rsid w:val="00F1624E"/>
    <w:rsid w:val="00F32F8A"/>
    <w:rsid w:val="00F810AA"/>
    <w:rsid w:val="00FB342D"/>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0F4F4"/>
  <w15:docId w15:val="{DB64BA2B-6B26-4963-A55C-2ABE8E67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78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7897"/>
    <w:rPr>
      <w:rFonts w:ascii="Calibri" w:eastAsia="宋体" w:hAnsi="Calibri" w:cs="Times New Roman"/>
      <w:sz w:val="18"/>
      <w:szCs w:val="18"/>
    </w:rPr>
  </w:style>
  <w:style w:type="paragraph" w:styleId="a5">
    <w:name w:val="footer"/>
    <w:basedOn w:val="a"/>
    <w:link w:val="a6"/>
    <w:uiPriority w:val="99"/>
    <w:unhideWhenUsed/>
    <w:rsid w:val="00E37897"/>
    <w:pPr>
      <w:tabs>
        <w:tab w:val="center" w:pos="4153"/>
        <w:tab w:val="right" w:pos="8306"/>
      </w:tabs>
      <w:snapToGrid w:val="0"/>
      <w:jc w:val="left"/>
    </w:pPr>
    <w:rPr>
      <w:sz w:val="18"/>
      <w:szCs w:val="18"/>
    </w:rPr>
  </w:style>
  <w:style w:type="character" w:customStyle="1" w:styleId="a6">
    <w:name w:val="页脚 字符"/>
    <w:basedOn w:val="a0"/>
    <w:link w:val="a5"/>
    <w:uiPriority w:val="99"/>
    <w:rsid w:val="00E37897"/>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38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廖 律</cp:lastModifiedBy>
  <cp:revision>7</cp:revision>
  <dcterms:created xsi:type="dcterms:W3CDTF">2018-09-29T02:33:00Z</dcterms:created>
  <dcterms:modified xsi:type="dcterms:W3CDTF">2020-03-19T07:43:00Z</dcterms:modified>
</cp:coreProperties>
</file>