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tbl>
      <w:tblPr>
        <w:tblStyle w:val="11"/>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案件名称</w:t>
            </w: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阿布扎比投资委员会与中骏集团控股有限公司等经营者新设合营企业案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交易概况（限200字内）</w:t>
            </w: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本次交易为阿布扎比投资委员会（Abu</w:t>
            </w:r>
            <w:r>
              <w:rPr>
                <w:rFonts w:ascii="仿宋_GB2312" w:hAnsi="Times New Roman" w:eastAsia="仿宋_GB2312"/>
                <w:sz w:val="28"/>
                <w:szCs w:val="28"/>
              </w:rPr>
              <w:t xml:space="preserve"> Dhabi Investment Council Company P.J.S.C</w:t>
            </w:r>
            <w:r>
              <w:rPr>
                <w:rFonts w:hint="eastAsia" w:ascii="仿宋_GB2312" w:hAnsi="Times New Roman" w:eastAsia="仿宋_GB2312"/>
                <w:sz w:val="28"/>
                <w:szCs w:val="28"/>
              </w:rPr>
              <w:t>）、中骏集团控股有限公司（“</w:t>
            </w:r>
            <w:bookmarkStart w:id="0" w:name="_GoBack"/>
            <w:r>
              <w:rPr>
                <w:rFonts w:hint="eastAsia" w:ascii="仿宋_GB2312" w:hAnsi="Times New Roman" w:eastAsia="仿宋_GB2312"/>
                <w:b w:val="0"/>
                <w:bCs w:val="0"/>
                <w:sz w:val="28"/>
                <w:szCs w:val="28"/>
              </w:rPr>
              <w:t>中骏集团</w:t>
            </w:r>
            <w:bookmarkEnd w:id="0"/>
            <w:r>
              <w:rPr>
                <w:rFonts w:hint="eastAsia" w:ascii="仿宋_GB2312" w:hAnsi="Times New Roman" w:eastAsia="仿宋_GB2312"/>
                <w:sz w:val="28"/>
                <w:szCs w:val="28"/>
              </w:rPr>
              <w:t>”）与普匹恩资本有限合伙（Proprium</w:t>
            </w:r>
            <w:r>
              <w:rPr>
                <w:rFonts w:ascii="仿宋_GB2312" w:hAnsi="Times New Roman" w:eastAsia="仿宋_GB2312"/>
                <w:sz w:val="28"/>
                <w:szCs w:val="28"/>
              </w:rPr>
              <w:t xml:space="preserve"> Capital Partners, L.P.</w:t>
            </w:r>
            <w:r>
              <w:rPr>
                <w:rFonts w:hint="eastAsia" w:ascii="仿宋_GB2312" w:hAnsi="Times New Roman" w:eastAsia="仿宋_GB2312"/>
                <w:sz w:val="28"/>
                <w:szCs w:val="28"/>
              </w:rPr>
              <w:t>，</w:t>
            </w:r>
            <w:r>
              <w:rPr>
                <w:rFonts w:ascii="仿宋_GB2312" w:hAnsi="Times New Roman" w:eastAsia="仿宋_GB2312"/>
                <w:sz w:val="28"/>
                <w:szCs w:val="28"/>
              </w:rPr>
              <w:t>“</w:t>
            </w:r>
            <w:r>
              <w:rPr>
                <w:rFonts w:hint="eastAsia" w:ascii="仿宋_GB2312" w:hAnsi="Times New Roman" w:eastAsia="仿宋_GB2312"/>
                <w:b w:val="0"/>
                <w:bCs w:val="0"/>
                <w:sz w:val="28"/>
                <w:szCs w:val="28"/>
              </w:rPr>
              <w:t>普匹恩资本</w:t>
            </w:r>
            <w:r>
              <w:rPr>
                <w:rFonts w:ascii="仿宋_GB2312" w:hAnsi="Times New Roman" w:eastAsia="仿宋_GB2312"/>
                <w:b w:val="0"/>
                <w:bCs w:val="0"/>
                <w:sz w:val="28"/>
                <w:szCs w:val="28"/>
              </w:rPr>
              <w:t>”</w:t>
            </w:r>
            <w:r>
              <w:rPr>
                <w:rFonts w:hint="eastAsia" w:ascii="仿宋_GB2312" w:hAnsi="Times New Roman" w:eastAsia="仿宋_GB2312"/>
                <w:sz w:val="28"/>
                <w:szCs w:val="28"/>
              </w:rPr>
              <w:t>）通过各自的关联企业新设合营企业，该合营企业拟在中国一线城市以及部分二线城市从事长租公寓业务。本次交易后，各方共同控制合营企业。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参与集中的经营者简介</w:t>
            </w:r>
          </w:p>
        </w:tc>
        <w:tc>
          <w:tcPr>
            <w:tcW w:w="1796" w:type="dxa"/>
          </w:tcPr>
          <w:p>
            <w:pPr>
              <w:spacing w:line="500" w:lineRule="exact"/>
              <w:rPr>
                <w:rFonts w:ascii="仿宋_GB2312" w:hAnsi="Times New Roman" w:eastAsia="仿宋_GB2312"/>
                <w:sz w:val="28"/>
                <w:szCs w:val="28"/>
              </w:rPr>
            </w:pPr>
            <w:r>
              <w:rPr>
                <w:rFonts w:ascii="仿宋_GB2312" w:hAnsi="Times New Roman" w:eastAsia="仿宋_GB2312"/>
                <w:sz w:val="28"/>
                <w:szCs w:val="28"/>
              </w:rPr>
              <w:t>1</w:t>
            </w:r>
            <w:r>
              <w:rPr>
                <w:rFonts w:hint="eastAsia" w:ascii="仿宋_GB2312" w:hAnsi="Times New Roman" w:eastAsia="仿宋_GB2312"/>
                <w:sz w:val="28"/>
                <w:szCs w:val="28"/>
              </w:rPr>
              <w:t>、阿布扎比投资委员会</w:t>
            </w:r>
          </w:p>
        </w:tc>
        <w:tc>
          <w:tcPr>
            <w:tcW w:w="5153" w:type="dxa"/>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阿布扎比投资委员会通过高度多元化的资产类别和积极的投资管理策略在全球进行多元经营，实现资本收益。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1796" w:type="dxa"/>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2、中骏集团</w:t>
            </w:r>
          </w:p>
        </w:tc>
        <w:tc>
          <w:tcPr>
            <w:tcW w:w="5153" w:type="dxa"/>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中骏集团的主要业务包括物业开发、商业管理、物业管理及长租公寓业务，其物业项目分布在北京、上海等37个城市，产品涵盖高层住宅、小高层住宅、别墅、商业、办公楼及长租公寓等多种物业类型。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1796" w:type="dxa"/>
          </w:tcPr>
          <w:p>
            <w:pPr>
              <w:spacing w:line="500" w:lineRule="exact"/>
              <w:rPr>
                <w:rFonts w:ascii="仿宋_GB2312" w:hAnsi="Times New Roman" w:eastAsia="仿宋_GB2312"/>
                <w:sz w:val="28"/>
                <w:szCs w:val="28"/>
              </w:rPr>
            </w:pPr>
            <w:r>
              <w:rPr>
                <w:rFonts w:ascii="仿宋_GB2312" w:hAnsi="Times New Roman" w:eastAsia="仿宋_GB2312"/>
                <w:sz w:val="28"/>
                <w:szCs w:val="28"/>
              </w:rPr>
              <w:t>3</w:t>
            </w:r>
            <w:r>
              <w:rPr>
                <w:rFonts w:hint="eastAsia" w:ascii="仿宋_GB2312" w:hAnsi="Times New Roman" w:eastAsia="仿宋_GB2312"/>
                <w:sz w:val="28"/>
                <w:szCs w:val="28"/>
              </w:rPr>
              <w:t>、普匹恩资本</w:t>
            </w:r>
          </w:p>
        </w:tc>
        <w:tc>
          <w:tcPr>
            <w:tcW w:w="5153" w:type="dxa"/>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普匹恩资本是一家主要面向房地产投资领域的私有企业，其专注于向混合型基金、全权委托基金提供投资咨询服务，业务涉及对房地产和房地产相关运营公司的风险投资。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简易案件理由（可以单选，也可以多选）</w:t>
            </w:r>
          </w:p>
        </w:tc>
        <w:tc>
          <w:tcPr>
            <w:tcW w:w="6949" w:type="dxa"/>
            <w:gridSpan w:val="2"/>
          </w:tcPr>
          <w:p>
            <w:pPr>
              <w:spacing w:line="500" w:lineRule="exact"/>
              <w:rPr>
                <w:rFonts w:ascii="仿宋_GB2312" w:hAnsi="Times New Roman" w:eastAsia="仿宋_GB2312"/>
                <w:sz w:val="28"/>
                <w:szCs w:val="28"/>
              </w:rPr>
            </w:pPr>
            <w:r>
              <w:rPr>
                <w:rFonts w:ascii="Wingdings 2" w:hAnsi="Wingdings 2" w:eastAsia="仿宋_GB2312"/>
                <w:sz w:val="28"/>
                <w:szCs w:val="28"/>
              </w:rPr>
              <w:t></w:t>
            </w:r>
            <w:r>
              <w:rPr>
                <w:rFonts w:hint="eastAsia" w:ascii="仿宋_GB2312" w:hAnsi="Times New Roman" w:eastAsia="仿宋_GB2312"/>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ascii="Wingdings 2" w:hAnsi="Wingdings 2" w:eastAsia="仿宋_GB2312"/>
                <w:sz w:val="28"/>
                <w:szCs w:val="28"/>
              </w:rPr>
              <w:t></w:t>
            </w:r>
            <w:r>
              <w:rPr>
                <w:rFonts w:hint="eastAsia" w:ascii="仿宋_GB2312" w:hAnsi="Times New Roman" w:eastAsia="仿宋_GB2312"/>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备注</w:t>
            </w: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t>相关市场</w:t>
            </w:r>
            <w:r>
              <w:rPr>
                <w:rFonts w:hint="eastAsia" w:ascii="Arial" w:hAnsi="Arial" w:eastAsia="仿宋_GB2312" w:cs="Arial"/>
                <w:sz w:val="28"/>
                <w:szCs w:val="28"/>
              </w:rPr>
              <w:t>界定及</w:t>
            </w:r>
            <w:r>
              <w:rPr>
                <w:rFonts w:ascii="Arial" w:hAnsi="Arial" w:eastAsia="仿宋_GB2312" w:cs="Arial"/>
                <w:sz w:val="28"/>
                <w:szCs w:val="28"/>
              </w:rPr>
              <w:t>参与集中的经营者在相关市场的份额：</w:t>
            </w:r>
          </w:p>
          <w:p>
            <w:pPr>
              <w:numPr>
                <w:ilvl w:val="0"/>
                <w:numId w:val="1"/>
              </w:numPr>
              <w:spacing w:line="500" w:lineRule="exact"/>
              <w:rPr>
                <w:rFonts w:ascii="Arial" w:hAnsi="Arial" w:eastAsia="仿宋_GB2312" w:cs="Arial"/>
                <w:sz w:val="28"/>
                <w:szCs w:val="28"/>
              </w:rPr>
            </w:pPr>
            <w:r>
              <w:rPr>
                <w:rFonts w:hint="eastAsia" w:ascii="Arial" w:hAnsi="Arial" w:eastAsia="仿宋_GB2312" w:cs="Arial"/>
                <w:sz w:val="28"/>
                <w:szCs w:val="28"/>
              </w:rPr>
              <w:t>上海市长租公寓开发与运营市场</w:t>
            </w:r>
          </w:p>
          <w:p>
            <w:pPr>
              <w:numPr>
                <w:ilvl w:val="0"/>
                <w:numId w:val="2"/>
              </w:numPr>
              <w:spacing w:line="500" w:lineRule="exact"/>
              <w:ind w:left="881"/>
              <w:rPr>
                <w:rFonts w:ascii="Arial" w:hAnsi="Arial" w:eastAsia="仿宋_GB2312" w:cs="Arial"/>
                <w:sz w:val="28"/>
                <w:szCs w:val="28"/>
              </w:rPr>
            </w:pPr>
            <w:r>
              <w:rPr>
                <w:rFonts w:hint="eastAsia" w:ascii="Arial" w:hAnsi="Arial" w:eastAsia="仿宋_GB2312" w:cs="Arial"/>
                <w:sz w:val="28"/>
                <w:szCs w:val="28"/>
              </w:rPr>
              <w:t>中骏集团</w:t>
            </w:r>
            <w:r>
              <w:rPr>
                <w:rFonts w:ascii="Arial" w:hAnsi="Arial" w:eastAsia="仿宋_GB2312" w:cs="Arial"/>
                <w:sz w:val="28"/>
                <w:szCs w:val="28"/>
              </w:rPr>
              <w:t>：</w:t>
            </w:r>
            <w:r>
              <w:rPr>
                <w:rFonts w:hint="eastAsia" w:ascii="Arial" w:hAnsi="Arial" w:eastAsia="仿宋_GB2312" w:cs="Arial"/>
                <w:sz w:val="28"/>
                <w:szCs w:val="28"/>
              </w:rPr>
              <w:t>[</w:t>
            </w:r>
            <w:r>
              <w:rPr>
                <w:rFonts w:ascii="Arial" w:hAnsi="Arial" w:eastAsia="仿宋_GB2312" w:cs="Arial"/>
                <w:sz w:val="28"/>
                <w:szCs w:val="28"/>
              </w:rPr>
              <w:t>0-</w:t>
            </w:r>
            <w:r>
              <w:rPr>
                <w:rFonts w:hint="eastAsia" w:ascii="Arial" w:hAnsi="Arial" w:eastAsia="仿宋_GB2312" w:cs="Arial"/>
                <w:sz w:val="28"/>
                <w:szCs w:val="28"/>
              </w:rPr>
              <w:t>5]</w:t>
            </w:r>
            <w:r>
              <w:rPr>
                <w:rFonts w:ascii="Arial" w:hAnsi="Arial" w:eastAsia="仿宋_GB2312" w:cs="Arial"/>
                <w:sz w:val="28"/>
                <w:szCs w:val="28"/>
              </w:rPr>
              <w:t>%</w:t>
            </w:r>
          </w:p>
          <w:p>
            <w:pPr>
              <w:numPr>
                <w:ilvl w:val="0"/>
                <w:numId w:val="2"/>
              </w:numPr>
              <w:spacing w:line="500" w:lineRule="exact"/>
              <w:ind w:left="881"/>
              <w:rPr>
                <w:rFonts w:ascii="Arial" w:hAnsi="Arial" w:eastAsia="仿宋_GB2312" w:cs="Arial"/>
                <w:sz w:val="28"/>
                <w:szCs w:val="28"/>
              </w:rPr>
            </w:pPr>
            <w:r>
              <w:rPr>
                <w:rFonts w:hint="eastAsia" w:ascii="Arial" w:hAnsi="Arial" w:eastAsia="仿宋_GB2312" w:cs="Arial"/>
                <w:sz w:val="28"/>
                <w:szCs w:val="28"/>
              </w:rPr>
              <w:t>普匹恩资本：[</w:t>
            </w:r>
            <w:r>
              <w:rPr>
                <w:rFonts w:ascii="Arial" w:hAnsi="Arial" w:eastAsia="仿宋_GB2312" w:cs="Arial"/>
                <w:sz w:val="28"/>
                <w:szCs w:val="28"/>
              </w:rPr>
              <w:t>0-5]</w:t>
            </w:r>
            <w:r>
              <w:rPr>
                <w:rFonts w:hint="eastAsia" w:ascii="Arial" w:hAnsi="Arial" w:eastAsia="仿宋_GB2312" w:cs="Arial"/>
                <w:sz w:val="28"/>
                <w:szCs w:val="28"/>
              </w:rPr>
              <w:t>%</w:t>
            </w:r>
          </w:p>
          <w:p>
            <w:pPr>
              <w:numPr>
                <w:ilvl w:val="0"/>
                <w:numId w:val="2"/>
              </w:numPr>
              <w:spacing w:line="500" w:lineRule="exact"/>
              <w:ind w:left="881"/>
              <w:rPr>
                <w:rFonts w:ascii="Arial" w:hAnsi="Arial" w:eastAsia="仿宋_GB2312" w:cs="Arial"/>
                <w:sz w:val="28"/>
                <w:szCs w:val="28"/>
              </w:rPr>
            </w:pPr>
            <w:r>
              <w:rPr>
                <w:rFonts w:hint="eastAsia" w:ascii="Arial" w:hAnsi="Arial" w:eastAsia="仿宋_GB2312" w:cs="Arial"/>
                <w:sz w:val="28"/>
                <w:szCs w:val="28"/>
              </w:rPr>
              <w:t>合计：[</w:t>
            </w:r>
            <w:r>
              <w:rPr>
                <w:rFonts w:ascii="Arial" w:hAnsi="Arial" w:eastAsia="仿宋_GB2312" w:cs="Arial"/>
                <w:sz w:val="28"/>
                <w:szCs w:val="28"/>
              </w:rPr>
              <w:t>0-5]%</w:t>
            </w:r>
          </w:p>
          <w:p>
            <w:pPr>
              <w:numPr>
                <w:ilvl w:val="0"/>
                <w:numId w:val="1"/>
              </w:numPr>
              <w:spacing w:line="500" w:lineRule="exact"/>
              <w:rPr>
                <w:rFonts w:ascii="Arial" w:hAnsi="Arial" w:eastAsia="仿宋_GB2312" w:cs="Arial"/>
                <w:sz w:val="28"/>
                <w:szCs w:val="28"/>
              </w:rPr>
            </w:pPr>
            <w:r>
              <w:rPr>
                <w:rFonts w:hint="eastAsia" w:ascii="Arial" w:hAnsi="Arial" w:eastAsia="仿宋_GB2312" w:cs="Arial"/>
                <w:sz w:val="28"/>
                <w:szCs w:val="28"/>
              </w:rPr>
              <w:t>北京市长租公寓开发与运营市场</w:t>
            </w:r>
          </w:p>
          <w:p>
            <w:pPr>
              <w:numPr>
                <w:ilvl w:val="0"/>
                <w:numId w:val="2"/>
              </w:numPr>
              <w:spacing w:line="500" w:lineRule="exact"/>
              <w:ind w:left="881"/>
              <w:rPr>
                <w:rFonts w:ascii="Arial" w:hAnsi="Arial" w:eastAsia="仿宋_GB2312" w:cs="Arial"/>
                <w:sz w:val="28"/>
                <w:szCs w:val="28"/>
              </w:rPr>
            </w:pPr>
            <w:r>
              <w:rPr>
                <w:rFonts w:hint="eastAsia" w:ascii="Arial" w:hAnsi="Arial" w:eastAsia="仿宋_GB2312" w:cs="Arial"/>
                <w:sz w:val="28"/>
                <w:szCs w:val="28"/>
              </w:rPr>
              <w:t>中骏集团</w:t>
            </w:r>
            <w:r>
              <w:rPr>
                <w:rFonts w:ascii="Arial" w:hAnsi="Arial" w:eastAsia="仿宋_GB2312" w:cs="Arial"/>
                <w:sz w:val="28"/>
                <w:szCs w:val="28"/>
              </w:rPr>
              <w:t>：</w:t>
            </w:r>
            <w:r>
              <w:rPr>
                <w:rFonts w:hint="eastAsia" w:ascii="Arial" w:hAnsi="Arial" w:eastAsia="仿宋_GB2312" w:cs="Arial"/>
                <w:sz w:val="28"/>
                <w:szCs w:val="28"/>
              </w:rPr>
              <w:t>[</w:t>
            </w:r>
            <w:r>
              <w:rPr>
                <w:rFonts w:ascii="Arial" w:hAnsi="Arial" w:eastAsia="仿宋_GB2312" w:cs="Arial"/>
                <w:sz w:val="28"/>
                <w:szCs w:val="28"/>
              </w:rPr>
              <w:t>0-</w:t>
            </w:r>
            <w:r>
              <w:rPr>
                <w:rFonts w:hint="eastAsia" w:ascii="Arial" w:hAnsi="Arial" w:eastAsia="仿宋_GB2312" w:cs="Arial"/>
                <w:sz w:val="28"/>
                <w:szCs w:val="28"/>
              </w:rPr>
              <w:t>5]</w:t>
            </w:r>
            <w:r>
              <w:rPr>
                <w:rFonts w:ascii="Arial" w:hAnsi="Arial" w:eastAsia="仿宋_GB2312" w:cs="Arial"/>
                <w:sz w:val="28"/>
                <w:szCs w:val="28"/>
              </w:rPr>
              <w:t>%</w:t>
            </w:r>
          </w:p>
          <w:p>
            <w:pPr>
              <w:numPr>
                <w:ilvl w:val="0"/>
                <w:numId w:val="1"/>
              </w:numPr>
              <w:spacing w:line="500" w:lineRule="exact"/>
              <w:rPr>
                <w:rFonts w:ascii="Arial" w:hAnsi="Arial" w:eastAsia="仿宋_GB2312" w:cs="Arial"/>
                <w:sz w:val="28"/>
                <w:szCs w:val="28"/>
              </w:rPr>
            </w:pPr>
            <w:r>
              <w:rPr>
                <w:rFonts w:hint="eastAsia" w:ascii="Arial" w:hAnsi="Arial" w:eastAsia="仿宋_GB2312" w:cs="Arial"/>
                <w:sz w:val="28"/>
                <w:szCs w:val="28"/>
              </w:rPr>
              <w:t>深圳市长租公寓开发与运营市场</w:t>
            </w:r>
          </w:p>
          <w:p>
            <w:pPr>
              <w:numPr>
                <w:ilvl w:val="0"/>
                <w:numId w:val="2"/>
              </w:numPr>
              <w:spacing w:line="500" w:lineRule="exact"/>
              <w:ind w:left="881"/>
              <w:rPr>
                <w:rFonts w:ascii="Arial" w:hAnsi="Arial" w:eastAsia="仿宋_GB2312" w:cs="Arial"/>
                <w:sz w:val="28"/>
                <w:szCs w:val="28"/>
              </w:rPr>
            </w:pPr>
            <w:r>
              <w:rPr>
                <w:rFonts w:hint="eastAsia" w:ascii="Arial" w:hAnsi="Arial" w:eastAsia="仿宋_GB2312" w:cs="Arial"/>
                <w:sz w:val="28"/>
                <w:szCs w:val="28"/>
              </w:rPr>
              <w:t>中骏集团</w:t>
            </w:r>
            <w:r>
              <w:rPr>
                <w:rFonts w:ascii="Arial" w:hAnsi="Arial" w:eastAsia="仿宋_GB2312" w:cs="Arial"/>
                <w:sz w:val="28"/>
                <w:szCs w:val="28"/>
              </w:rPr>
              <w:t>：</w:t>
            </w:r>
            <w:r>
              <w:rPr>
                <w:rFonts w:hint="eastAsia" w:ascii="Arial" w:hAnsi="Arial" w:eastAsia="仿宋_GB2312" w:cs="Arial"/>
                <w:sz w:val="28"/>
                <w:szCs w:val="28"/>
              </w:rPr>
              <w:t>[</w:t>
            </w:r>
            <w:r>
              <w:rPr>
                <w:rFonts w:ascii="Arial" w:hAnsi="Arial" w:eastAsia="仿宋_GB2312" w:cs="Arial"/>
                <w:sz w:val="28"/>
                <w:szCs w:val="28"/>
              </w:rPr>
              <w:t>0-</w:t>
            </w:r>
            <w:r>
              <w:rPr>
                <w:rFonts w:hint="eastAsia" w:ascii="Arial" w:hAnsi="Arial" w:eastAsia="仿宋_GB2312" w:cs="Arial"/>
                <w:sz w:val="28"/>
                <w:szCs w:val="28"/>
              </w:rPr>
              <w:t>5]</w:t>
            </w:r>
            <w:r>
              <w:rPr>
                <w:rFonts w:ascii="Arial" w:hAnsi="Arial" w:eastAsia="仿宋_GB2312" w:cs="Arial"/>
                <w:sz w:val="28"/>
                <w:szCs w:val="28"/>
              </w:rPr>
              <w:t>%</w:t>
            </w:r>
          </w:p>
          <w:p>
            <w:pPr>
              <w:numPr>
                <w:ilvl w:val="0"/>
                <w:numId w:val="1"/>
              </w:numPr>
              <w:spacing w:line="500" w:lineRule="exact"/>
              <w:rPr>
                <w:rFonts w:ascii="Arial" w:hAnsi="Arial" w:eastAsia="仿宋_GB2312" w:cs="Arial"/>
                <w:sz w:val="28"/>
                <w:szCs w:val="28"/>
              </w:rPr>
            </w:pPr>
            <w:r>
              <w:rPr>
                <w:rFonts w:hint="eastAsia" w:ascii="Arial" w:hAnsi="Arial" w:eastAsia="仿宋_GB2312" w:cs="Arial"/>
                <w:sz w:val="28"/>
                <w:szCs w:val="28"/>
              </w:rPr>
              <w:t>杭州市长租公寓开发与运营市场</w:t>
            </w:r>
          </w:p>
          <w:p>
            <w:pPr>
              <w:numPr>
                <w:ilvl w:val="0"/>
                <w:numId w:val="2"/>
              </w:numPr>
              <w:spacing w:line="500" w:lineRule="exact"/>
              <w:ind w:left="881"/>
              <w:rPr>
                <w:rFonts w:ascii="Arial" w:hAnsi="Arial" w:eastAsia="仿宋_GB2312" w:cs="Arial"/>
                <w:sz w:val="28"/>
                <w:szCs w:val="28"/>
              </w:rPr>
            </w:pPr>
            <w:r>
              <w:rPr>
                <w:rFonts w:hint="eastAsia" w:ascii="Arial" w:hAnsi="Arial" w:eastAsia="仿宋_GB2312" w:cs="Arial"/>
                <w:sz w:val="28"/>
                <w:szCs w:val="28"/>
              </w:rPr>
              <w:t>中骏集团</w:t>
            </w:r>
            <w:r>
              <w:rPr>
                <w:rFonts w:ascii="Arial" w:hAnsi="Arial" w:eastAsia="仿宋_GB2312" w:cs="Arial"/>
                <w:sz w:val="28"/>
                <w:szCs w:val="28"/>
              </w:rPr>
              <w:t>：</w:t>
            </w:r>
            <w:r>
              <w:rPr>
                <w:rFonts w:hint="eastAsia" w:ascii="Arial" w:hAnsi="Arial" w:eastAsia="仿宋_GB2312" w:cs="Arial"/>
                <w:sz w:val="28"/>
                <w:szCs w:val="28"/>
              </w:rPr>
              <w:t>[</w:t>
            </w:r>
            <w:r>
              <w:rPr>
                <w:rFonts w:ascii="Arial" w:hAnsi="Arial" w:eastAsia="仿宋_GB2312" w:cs="Arial"/>
                <w:sz w:val="28"/>
                <w:szCs w:val="28"/>
              </w:rPr>
              <w:t>0-</w:t>
            </w:r>
            <w:r>
              <w:rPr>
                <w:rFonts w:hint="eastAsia" w:ascii="Arial" w:hAnsi="Arial" w:eastAsia="仿宋_GB2312" w:cs="Arial"/>
                <w:sz w:val="28"/>
                <w:szCs w:val="28"/>
              </w:rPr>
              <w:t>5]</w:t>
            </w:r>
            <w:r>
              <w:rPr>
                <w:rFonts w:ascii="Arial" w:hAnsi="Arial" w:eastAsia="仿宋_GB2312" w:cs="Arial"/>
                <w:sz w:val="28"/>
                <w:szCs w:val="28"/>
              </w:rPr>
              <w:t>%</w:t>
            </w:r>
          </w:p>
          <w:p>
            <w:pPr>
              <w:numPr>
                <w:ilvl w:val="0"/>
                <w:numId w:val="1"/>
              </w:numPr>
              <w:spacing w:line="500" w:lineRule="exact"/>
              <w:rPr>
                <w:rFonts w:ascii="Arial" w:hAnsi="Arial" w:eastAsia="仿宋_GB2312" w:cs="Arial"/>
                <w:sz w:val="28"/>
                <w:szCs w:val="28"/>
              </w:rPr>
            </w:pPr>
            <w:r>
              <w:rPr>
                <w:rFonts w:hint="eastAsia" w:ascii="Arial" w:hAnsi="Arial" w:eastAsia="仿宋_GB2312" w:cs="Arial"/>
                <w:sz w:val="28"/>
                <w:szCs w:val="28"/>
              </w:rPr>
              <w:t>南京市长租公寓开发与运营市场</w:t>
            </w:r>
          </w:p>
          <w:p>
            <w:pPr>
              <w:numPr>
                <w:ilvl w:val="0"/>
                <w:numId w:val="2"/>
              </w:numPr>
              <w:spacing w:line="500" w:lineRule="exact"/>
              <w:ind w:left="881"/>
              <w:rPr>
                <w:rFonts w:ascii="Arial" w:hAnsi="Arial" w:eastAsia="仿宋_GB2312" w:cs="Arial"/>
                <w:sz w:val="28"/>
                <w:szCs w:val="28"/>
              </w:rPr>
            </w:pPr>
            <w:r>
              <w:rPr>
                <w:rFonts w:hint="eastAsia" w:ascii="Arial" w:hAnsi="Arial" w:eastAsia="仿宋_GB2312" w:cs="Arial"/>
                <w:sz w:val="28"/>
                <w:szCs w:val="28"/>
              </w:rPr>
              <w:t>中骏集团</w:t>
            </w:r>
            <w:r>
              <w:rPr>
                <w:rFonts w:ascii="Arial" w:hAnsi="Arial" w:eastAsia="仿宋_GB2312" w:cs="Arial"/>
                <w:sz w:val="28"/>
                <w:szCs w:val="28"/>
              </w:rPr>
              <w:t>：</w:t>
            </w:r>
            <w:r>
              <w:rPr>
                <w:rFonts w:hint="eastAsia" w:ascii="Arial" w:hAnsi="Arial" w:eastAsia="仿宋_GB2312" w:cs="Arial"/>
                <w:sz w:val="28"/>
                <w:szCs w:val="28"/>
              </w:rPr>
              <w:t>[</w:t>
            </w:r>
            <w:r>
              <w:rPr>
                <w:rFonts w:ascii="Arial" w:hAnsi="Arial" w:eastAsia="仿宋_GB2312" w:cs="Arial"/>
                <w:sz w:val="28"/>
                <w:szCs w:val="28"/>
              </w:rPr>
              <w:t>0-</w:t>
            </w:r>
            <w:r>
              <w:rPr>
                <w:rFonts w:hint="eastAsia" w:ascii="Arial" w:hAnsi="Arial" w:eastAsia="仿宋_GB2312" w:cs="Arial"/>
                <w:sz w:val="28"/>
                <w:szCs w:val="28"/>
              </w:rPr>
              <w:t>5]</w:t>
            </w:r>
            <w:r>
              <w:rPr>
                <w:rFonts w:ascii="Arial" w:hAnsi="Arial" w:eastAsia="仿宋_GB2312" w:cs="Arial"/>
                <w:sz w:val="28"/>
                <w:szCs w:val="28"/>
              </w:rPr>
              <w:t>%</w:t>
            </w: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Arial" w:hAnsi="Arial" w:eastAsia="楷体_GB2312" w:cs="Arial"/>
          <w:sz w:val="24"/>
          <w:szCs w:val="24"/>
        </w:rPr>
      </w:pPr>
      <w:r>
        <w:rPr>
          <w:rFonts w:ascii="Arial" w:hAnsi="Arial" w:eastAsia="楷体_GB2312" w:cs="Arial"/>
          <w:sz w:val="24"/>
          <w:szCs w:val="24"/>
        </w:rPr>
        <w:t>注解：</w:t>
      </w:r>
    </w:p>
    <w:p>
      <w:pPr>
        <w:snapToGrid w:val="0"/>
        <w:spacing w:line="360" w:lineRule="auto"/>
        <w:ind w:firstLine="480" w:firstLineChars="200"/>
        <w:jc w:val="left"/>
        <w:rPr>
          <w:rFonts w:ascii="Arial" w:hAnsi="Arial" w:eastAsia="楷体_GB2312" w:cs="Arial"/>
          <w:sz w:val="24"/>
          <w:szCs w:val="24"/>
        </w:rPr>
      </w:pPr>
      <w:r>
        <w:rPr>
          <w:rFonts w:ascii="Arial" w:hAnsi="Arial" w:eastAsia="楷体_GB2312" w:cs="Arial"/>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Arial" w:hAnsi="Arial" w:eastAsia="楷体_GB2312" w:cs="Arial"/>
          <w:sz w:val="28"/>
          <w:szCs w:val="28"/>
        </w:rPr>
      </w:pPr>
      <w:r>
        <w:rPr>
          <w:rFonts w:ascii="Arial" w:hAnsi="Arial" w:eastAsia="楷体_GB2312" w:cs="Arial"/>
          <w:sz w:val="24"/>
          <w:szCs w:val="24"/>
        </w:rPr>
        <w:t>2、申报方申请简易案件的理由是基于第4项、第5项时，无须在备注中说明相关市场和市场份额。</w:t>
      </w:r>
      <w:r>
        <w:rPr>
          <w:rFonts w:ascii="Arial" w:hAnsi="Arial" w:eastAsia="楷体_GB2312" w:cs="Arial"/>
          <w:sz w:val="24"/>
          <w:szCs w:val="24"/>
        </w:rPr>
        <w:br w:type="textWrapping"/>
      </w:r>
      <w:r>
        <w:rPr>
          <w:rFonts w:ascii="Arial" w:hAnsi="Arial" w:eastAsia="楷体_GB2312" w:cs="Arial"/>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9B27CC"/>
    <w:multiLevelType w:val="multilevel"/>
    <w:tmpl w:val="369B27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7D34D1E"/>
    <w:multiLevelType w:val="multilevel"/>
    <w:tmpl w:val="37D34D1E"/>
    <w:lvl w:ilvl="0" w:tentative="0">
      <w:start w:val="1"/>
      <w:numFmt w:val="bullet"/>
      <w:lvlText w:val="-"/>
      <w:lvlJc w:val="left"/>
      <w:pPr>
        <w:ind w:left="420" w:hanging="420"/>
      </w:pPr>
      <w:rPr>
        <w:rFonts w:hint="eastAsia" w:ascii="宋体" w:hAnsi="宋体" w:eastAsia="宋体"/>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094095"/>
    <w:rsid w:val="00094095"/>
    <w:rsid w:val="000A4388"/>
    <w:rsid w:val="000A579B"/>
    <w:rsid w:val="000B6BC9"/>
    <w:rsid w:val="0012426B"/>
    <w:rsid w:val="001313F7"/>
    <w:rsid w:val="001A33C2"/>
    <w:rsid w:val="001D766E"/>
    <w:rsid w:val="001E29F5"/>
    <w:rsid w:val="00245776"/>
    <w:rsid w:val="0026016F"/>
    <w:rsid w:val="0028442B"/>
    <w:rsid w:val="002F2D60"/>
    <w:rsid w:val="003072CC"/>
    <w:rsid w:val="00307976"/>
    <w:rsid w:val="00320FF5"/>
    <w:rsid w:val="003222CC"/>
    <w:rsid w:val="00323FD3"/>
    <w:rsid w:val="003A0A91"/>
    <w:rsid w:val="003A5B7C"/>
    <w:rsid w:val="003C6E54"/>
    <w:rsid w:val="0042358C"/>
    <w:rsid w:val="0043290E"/>
    <w:rsid w:val="00462174"/>
    <w:rsid w:val="004A0909"/>
    <w:rsid w:val="004B6F34"/>
    <w:rsid w:val="004D69D6"/>
    <w:rsid w:val="00500913"/>
    <w:rsid w:val="00513218"/>
    <w:rsid w:val="00516312"/>
    <w:rsid w:val="00535648"/>
    <w:rsid w:val="005429B1"/>
    <w:rsid w:val="005620A1"/>
    <w:rsid w:val="00574D42"/>
    <w:rsid w:val="0058130E"/>
    <w:rsid w:val="005A6A98"/>
    <w:rsid w:val="005E10D1"/>
    <w:rsid w:val="005E3788"/>
    <w:rsid w:val="005F167B"/>
    <w:rsid w:val="00636352"/>
    <w:rsid w:val="00671C40"/>
    <w:rsid w:val="00672F0A"/>
    <w:rsid w:val="006F3882"/>
    <w:rsid w:val="007033F1"/>
    <w:rsid w:val="007A466C"/>
    <w:rsid w:val="007B1695"/>
    <w:rsid w:val="008263DA"/>
    <w:rsid w:val="00830DA7"/>
    <w:rsid w:val="00865E26"/>
    <w:rsid w:val="008F668A"/>
    <w:rsid w:val="00996B62"/>
    <w:rsid w:val="009B76E5"/>
    <w:rsid w:val="009E1EED"/>
    <w:rsid w:val="00A05702"/>
    <w:rsid w:val="00A90E3B"/>
    <w:rsid w:val="00B63FD7"/>
    <w:rsid w:val="00BA0750"/>
    <w:rsid w:val="00BA77E6"/>
    <w:rsid w:val="00BB2377"/>
    <w:rsid w:val="00BB4A0F"/>
    <w:rsid w:val="00C21DAA"/>
    <w:rsid w:val="00C46D68"/>
    <w:rsid w:val="00C51263"/>
    <w:rsid w:val="00C75C79"/>
    <w:rsid w:val="00C837B3"/>
    <w:rsid w:val="00C9068E"/>
    <w:rsid w:val="00CB221E"/>
    <w:rsid w:val="00D21777"/>
    <w:rsid w:val="00D255A4"/>
    <w:rsid w:val="00D65917"/>
    <w:rsid w:val="00D95B13"/>
    <w:rsid w:val="00DC67D3"/>
    <w:rsid w:val="00DE0331"/>
    <w:rsid w:val="00DF19B8"/>
    <w:rsid w:val="00E02A52"/>
    <w:rsid w:val="00E536C2"/>
    <w:rsid w:val="00ED21B1"/>
    <w:rsid w:val="00EE4EE4"/>
    <w:rsid w:val="00F87C1F"/>
    <w:rsid w:val="372776B4"/>
    <w:rsid w:val="448E35B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11">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17"/>
    <w:semiHidden/>
    <w:unhideWhenUsed/>
    <w:uiPriority w:val="99"/>
    <w:rPr>
      <w:b/>
      <w:bCs/>
    </w:rPr>
  </w:style>
  <w:style w:type="paragraph" w:styleId="3">
    <w:name w:val="annotation text"/>
    <w:basedOn w:val="1"/>
    <w:link w:val="16"/>
    <w:semiHidden/>
    <w:unhideWhenUsed/>
    <w:qFormat/>
    <w:uiPriority w:val="99"/>
    <w:pPr>
      <w:jc w:val="left"/>
    </w:pPr>
  </w:style>
  <w:style w:type="paragraph" w:styleId="4">
    <w:name w:val="endnote text"/>
    <w:basedOn w:val="1"/>
    <w:link w:val="13"/>
    <w:semiHidden/>
    <w:unhideWhenUsed/>
    <w:uiPriority w:val="99"/>
    <w:pPr>
      <w:snapToGrid w:val="0"/>
      <w:jc w:val="left"/>
    </w:pPr>
  </w:style>
  <w:style w:type="paragraph" w:styleId="5">
    <w:name w:val="Balloon Text"/>
    <w:basedOn w:val="1"/>
    <w:link w:val="18"/>
    <w:semiHidden/>
    <w:unhideWhenUsed/>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character" w:styleId="9">
    <w:name w:val="endnote reference"/>
    <w:semiHidden/>
    <w:unhideWhenUsed/>
    <w:uiPriority w:val="99"/>
    <w:rPr>
      <w:vertAlign w:val="superscript"/>
    </w:rPr>
  </w:style>
  <w:style w:type="character" w:styleId="10">
    <w:name w:val="annotation reference"/>
    <w:semiHidden/>
    <w:unhideWhenUsed/>
    <w:qFormat/>
    <w:uiPriority w:val="99"/>
    <w:rPr>
      <w:sz w:val="21"/>
      <w:szCs w:val="21"/>
    </w:rPr>
  </w:style>
  <w:style w:type="table" w:styleId="12">
    <w:name w:val="Table Grid"/>
    <w:basedOn w:val="1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3">
    <w:name w:val="尾注文本 字符"/>
    <w:basedOn w:val="8"/>
    <w:link w:val="4"/>
    <w:semiHidden/>
    <w:uiPriority w:val="99"/>
  </w:style>
  <w:style w:type="character" w:customStyle="1" w:styleId="14">
    <w:name w:val="页眉 字符"/>
    <w:link w:val="7"/>
    <w:uiPriority w:val="99"/>
    <w:rPr>
      <w:sz w:val="18"/>
      <w:szCs w:val="18"/>
    </w:rPr>
  </w:style>
  <w:style w:type="character" w:customStyle="1" w:styleId="15">
    <w:name w:val="页脚 字符"/>
    <w:link w:val="6"/>
    <w:uiPriority w:val="99"/>
    <w:rPr>
      <w:sz w:val="18"/>
      <w:szCs w:val="18"/>
    </w:rPr>
  </w:style>
  <w:style w:type="character" w:customStyle="1" w:styleId="16">
    <w:name w:val="批注文字 字符"/>
    <w:link w:val="3"/>
    <w:semiHidden/>
    <w:uiPriority w:val="99"/>
    <w:rPr>
      <w:kern w:val="2"/>
      <w:sz w:val="21"/>
      <w:szCs w:val="22"/>
    </w:rPr>
  </w:style>
  <w:style w:type="character" w:customStyle="1" w:styleId="17">
    <w:name w:val="批注主题 字符"/>
    <w:link w:val="2"/>
    <w:semiHidden/>
    <w:uiPriority w:val="99"/>
    <w:rPr>
      <w:b/>
      <w:bCs/>
      <w:kern w:val="2"/>
      <w:sz w:val="21"/>
      <w:szCs w:val="22"/>
    </w:rPr>
  </w:style>
  <w:style w:type="character" w:customStyle="1" w:styleId="18">
    <w:name w:val="批注框文本 字符"/>
    <w:link w:val="5"/>
    <w:semiHidden/>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E2273093F90A2C4FAAED9AF9FC85CF88" ma:contentTypeVersion="0" ma:contentTypeDescription="新建文档。" ma:contentTypeScope="" ma:versionID="39551bc56bb9d7c29e6b0b5c6adcc526">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71D256-742A-4AFD-8AE2-243574DB1B0B}">
  <ds:schemaRefs/>
</ds:datastoreItem>
</file>

<file path=customXml/itemProps3.xml><?xml version="1.0" encoding="utf-8"?>
<ds:datastoreItem xmlns:ds="http://schemas.openxmlformats.org/officeDocument/2006/customXml" ds:itemID="{53F6A80C-AE35-4871-BD3A-9DBFF3CA79E0}">
  <ds:schemaRefs/>
</ds:datastoreItem>
</file>

<file path=customXml/itemProps4.xml><?xml version="1.0" encoding="utf-8"?>
<ds:datastoreItem xmlns:ds="http://schemas.openxmlformats.org/officeDocument/2006/customXml" ds:itemID="{E52A5E36-C5AB-4283-9E3E-6068F0F8480F}">
  <ds:schemaRefs/>
</ds:datastoreItem>
</file>

<file path=customXml/itemProps5.xml><?xml version="1.0" encoding="utf-8"?>
<ds:datastoreItem xmlns:ds="http://schemas.openxmlformats.org/officeDocument/2006/customXml" ds:itemID="{BF4021CF-18A8-40B7-96AB-7EC56E3DF772}">
  <ds:schemaRefs/>
</ds:datastoreItem>
</file>

<file path=customXml/itemProps6.xml><?xml version="1.0" encoding="utf-8"?>
<ds:datastoreItem xmlns:ds="http://schemas.openxmlformats.org/officeDocument/2006/customXml" ds:itemID="{6F1C8298-16E3-45F4-8901-3BA02A57EF8D}">
  <ds:schemaRefs/>
</ds:datastoreItem>
</file>

<file path=docProps/app.xml><?xml version="1.0" encoding="utf-8"?>
<Properties xmlns="http://schemas.openxmlformats.org/officeDocument/2006/extended-properties" xmlns:vt="http://schemas.openxmlformats.org/officeDocument/2006/docPropsVTypes">
  <Template>Normal</Template>
  <Pages>3</Pages>
  <Words>210</Words>
  <Characters>1198</Characters>
  <Lines>9</Lines>
  <Paragraphs>2</Paragraphs>
  <TotalTime>0</TotalTime>
  <ScaleCrop>false</ScaleCrop>
  <LinksUpToDate>false</LinksUpToDate>
  <CharactersWithSpaces>1406</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2018-07-31T14:59:00Z</dcterms:created>
  <dc:creator>dell</dc:creator>
  <cp:lastModifiedBy>user</cp:lastModifiedBy>
  <cp:lastPrinted>2014-10-08T02:48:00Z</cp:lastPrinted>
  <dcterms:modified xsi:type="dcterms:W3CDTF">2020-04-14T04:52:26Z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0x0101000F7798E6C6981040AA8056D55AC8BE90</vt:lpwstr>
  </property>
  <property fmtid="{D5CDD505-2E9C-101B-9397-08002B2CF9AE}" pid="3" name="_dlc_DocId">
    <vt:lpwstr>U7MTSZU7ZE52-10673-141</vt:lpwstr>
  </property>
  <property fmtid="{D5CDD505-2E9C-101B-9397-08002B2CF9AE}" pid="4" name="_dlc_DocIdItemGuid">
    <vt:lpwstr>8bac721e-2b60-4c9b-b436-e57a4a65f717</vt:lpwstr>
  </property>
  <property fmtid="{D5CDD505-2E9C-101B-9397-08002B2CF9AE}" pid="5" name="_dlc_DocIdUrl">
    <vt:lpwstr>https://sp.zhonglun.com/sites/document10/NonViolation/_layouts/DocIdRedir.aspx?ID=U7MTSZU7ZE52-10673-141, U7MTSZU7ZE52-10673-141</vt:lpwstr>
  </property>
  <property fmtid="{D5CDD505-2E9C-101B-9397-08002B2CF9AE}" pid="6" name="KSOProductBuildVer">
    <vt:lpwstr>2052-10.8.2.7129</vt:lpwstr>
  </property>
</Properties>
</file>