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F6F6EF" w14:textId="77777777" w:rsidR="00010A97" w:rsidRPr="0074199E" w:rsidRDefault="00010A97" w:rsidP="00010A97">
      <w:pPr>
        <w:spacing w:line="440" w:lineRule="exact"/>
        <w:jc w:val="center"/>
        <w:rPr>
          <w:rFonts w:ascii="Times New Roman" w:eastAsia="仿宋" w:hAnsi="Times New Roman"/>
          <w:b/>
          <w:sz w:val="28"/>
          <w:szCs w:val="30"/>
        </w:rPr>
      </w:pPr>
      <w:r w:rsidRPr="0074199E">
        <w:rPr>
          <w:rFonts w:ascii="Times New Roman" w:eastAsia="仿宋" w:hAnsi="Times New Roman"/>
          <w:b/>
          <w:sz w:val="28"/>
          <w:szCs w:val="30"/>
        </w:rPr>
        <w:t>经营者集中简易案件公示表</w:t>
      </w:r>
    </w:p>
    <w:p w14:paraId="5A6C1088" w14:textId="77777777" w:rsidR="00010A97" w:rsidRPr="0074199E" w:rsidRDefault="00010A97" w:rsidP="00010A97">
      <w:pPr>
        <w:spacing w:line="440" w:lineRule="exact"/>
        <w:jc w:val="center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2239"/>
        <w:gridCol w:w="4486"/>
      </w:tblGrid>
      <w:tr w:rsidR="00010A97" w:rsidRPr="0074199E" w14:paraId="77791C5C" w14:textId="77777777" w:rsidTr="002F5793">
        <w:tc>
          <w:tcPr>
            <w:tcW w:w="2033" w:type="dxa"/>
            <w:shd w:val="clear" w:color="auto" w:fill="D9D9D9"/>
          </w:tcPr>
          <w:p w14:paraId="7EC305D9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1AC44ADF" w14:textId="77777777" w:rsidR="00010A97" w:rsidRPr="0074199E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017B7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沙特阿美发展公司与贝克休斯公司新设合营企业案</w:t>
            </w:r>
          </w:p>
        </w:tc>
      </w:tr>
      <w:tr w:rsidR="00010A97" w:rsidRPr="0074199E" w14:paraId="102B7839" w14:textId="77777777" w:rsidTr="002F5793">
        <w:trPr>
          <w:trHeight w:val="993"/>
        </w:trPr>
        <w:tc>
          <w:tcPr>
            <w:tcW w:w="2033" w:type="dxa"/>
            <w:shd w:val="clear" w:color="auto" w:fill="D9D9D9"/>
          </w:tcPr>
          <w:p w14:paraId="7C41DCF8" w14:textId="77777777" w:rsidR="00010A97" w:rsidRPr="0074199E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</w:t>
            </w:r>
            <w:r w:rsidRPr="0074199E">
              <w:rPr>
                <w:rFonts w:ascii="Times New Roman" w:eastAsia="仿宋" w:hAnsi="Times New Roman" w:hint="eastAsia"/>
                <w:sz w:val="24"/>
                <w:szCs w:val="24"/>
              </w:rPr>
              <w:t>（限</w:t>
            </w:r>
            <w:r w:rsidRPr="0074199E">
              <w:rPr>
                <w:rFonts w:ascii="Times New Roman" w:eastAsia="仿宋" w:hAnsi="Times New Roman" w:hint="eastAsia"/>
                <w:sz w:val="24"/>
                <w:szCs w:val="24"/>
              </w:rPr>
              <w:t>200</w:t>
            </w:r>
            <w:r w:rsidRPr="0074199E">
              <w:rPr>
                <w:rFonts w:ascii="Times New Roman" w:eastAsia="仿宋" w:hAnsi="Times New Roman" w:hint="eastAsia"/>
                <w:sz w:val="24"/>
                <w:szCs w:val="24"/>
              </w:rPr>
              <w:t>字内）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05C71780" w14:textId="77777777" w:rsidR="00010A97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本次交易涉及</w:t>
            </w:r>
            <w:r w:rsidRPr="00017B7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沙特阿美发展公司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（“</w:t>
            </w:r>
            <w:r w:rsidRPr="00891A68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</w:rPr>
              <w:t>S</w:t>
            </w:r>
            <w:r w:rsidRPr="00891A68">
              <w:rPr>
                <w:rFonts w:ascii="Times New Roman" w:eastAsia="仿宋" w:hAnsi="Times New Roman"/>
                <w:b/>
                <w:kern w:val="0"/>
                <w:sz w:val="24"/>
                <w:szCs w:val="24"/>
              </w:rPr>
              <w:t>ADCO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和</w:t>
            </w:r>
            <w:r w:rsidRPr="00017B75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贝克休斯公司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（“</w:t>
            </w:r>
            <w:r w:rsidRPr="00017B75">
              <w:rPr>
                <w:rFonts w:ascii="Times New Roman" w:eastAsia="仿宋" w:hAnsi="Times New Roman" w:hint="eastAsia"/>
                <w:b/>
                <w:kern w:val="0"/>
                <w:sz w:val="24"/>
                <w:szCs w:val="24"/>
              </w:rPr>
              <w:t>贝克休斯</w:t>
            </w: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”）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新设一家合营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企业，由</w:t>
            </w:r>
            <w:r w:rsidRPr="001D427A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SADCO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贝克休斯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共同控制。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 xml:space="preserve">              </w:t>
            </w:r>
          </w:p>
          <w:p w14:paraId="41DD314A" w14:textId="77777777" w:rsidR="00010A97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本次交易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后，</w:t>
            </w:r>
            <w:r w:rsidRPr="001D427A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SADCO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将持有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合营企业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50%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的股权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，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贝克休斯将通过其子公司</w:t>
            </w:r>
            <w:r w:rsidRPr="001D427A">
              <w:rPr>
                <w:rFonts w:ascii="Times New Roman" w:eastAsia="仿宋" w:hAnsi="Times New Roman" w:hint="eastAsia"/>
                <w:sz w:val="24"/>
                <w:szCs w:val="24"/>
              </w:rPr>
              <w:t>通用电气石油天然气英国有限公司</w:t>
            </w:r>
            <w:r w:rsidRPr="002D6A60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Pr="002D6A60">
              <w:rPr>
                <w:rFonts w:ascii="Times New Roman" w:eastAsia="仿宋" w:hAnsi="Times New Roman"/>
                <w:sz w:val="24"/>
                <w:szCs w:val="24"/>
              </w:rPr>
              <w:t>GE Oil &amp; Gas UK Limited</w:t>
            </w:r>
            <w:r w:rsidRPr="002D6A60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持有合营企业其余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50%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的股权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r w:rsidRPr="001D427A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SADCO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和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贝克休斯将共同控制该合营企业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  <w:p w14:paraId="5DB8A8AA" w14:textId="77777777" w:rsidR="00010A97" w:rsidRPr="006F492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6F492E">
              <w:rPr>
                <w:rFonts w:ascii="Times New Roman" w:eastAsia="仿宋" w:hAnsi="Times New Roman" w:hint="eastAsia"/>
                <w:sz w:val="24"/>
                <w:szCs w:val="24"/>
              </w:rPr>
              <w:t>合营企业将在沙特阿拉伯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王国</w:t>
            </w:r>
            <w:r w:rsidRPr="006F492E">
              <w:rPr>
                <w:rFonts w:ascii="Times New Roman" w:eastAsia="仿宋" w:hAnsi="Times New Roman" w:hint="eastAsia"/>
                <w:sz w:val="24"/>
                <w:szCs w:val="24"/>
              </w:rPr>
              <w:t>设立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，</w:t>
            </w:r>
            <w:r w:rsidRPr="006F492E">
              <w:rPr>
                <w:rFonts w:ascii="Times New Roman" w:eastAsia="仿宋" w:hAnsi="Times New Roman" w:hint="eastAsia"/>
                <w:sz w:val="24"/>
                <w:szCs w:val="24"/>
              </w:rPr>
              <w:t>建设及运营生产设施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用以</w:t>
            </w:r>
            <w:r w:rsidRPr="006F492E">
              <w:rPr>
                <w:rFonts w:ascii="Times New Roman" w:eastAsia="仿宋" w:hAnsi="Times New Roman" w:hint="eastAsia"/>
                <w:sz w:val="24"/>
                <w:szCs w:val="24"/>
              </w:rPr>
              <w:t>生产用于油气应用的非金属</w:t>
            </w:r>
            <w:r w:rsidRPr="006F492E">
              <w:rPr>
                <w:rFonts w:ascii="Times New Roman" w:eastAsia="仿宋" w:hAnsi="Times New Roman" w:hint="eastAsia"/>
                <w:sz w:val="24"/>
                <w:szCs w:val="24"/>
              </w:rPr>
              <w:t>/</w:t>
            </w:r>
            <w:r w:rsidRPr="006F492E">
              <w:rPr>
                <w:rFonts w:ascii="Times New Roman" w:eastAsia="仿宋" w:hAnsi="Times New Roman" w:hint="eastAsia"/>
                <w:sz w:val="24"/>
                <w:szCs w:val="24"/>
              </w:rPr>
              <w:t>复合材料产品。</w:t>
            </w:r>
          </w:p>
        </w:tc>
      </w:tr>
      <w:tr w:rsidR="00010A97" w:rsidRPr="0074199E" w14:paraId="4138E483" w14:textId="77777777" w:rsidTr="002F5793">
        <w:trPr>
          <w:trHeight w:val="3754"/>
        </w:trPr>
        <w:tc>
          <w:tcPr>
            <w:tcW w:w="2033" w:type="dxa"/>
            <w:vMerge w:val="restart"/>
            <w:shd w:val="clear" w:color="auto" w:fill="D9D9D9"/>
          </w:tcPr>
          <w:p w14:paraId="6EAFDCD9" w14:textId="77777777" w:rsidR="00010A97" w:rsidRPr="0074199E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2239" w:type="dxa"/>
            <w:shd w:val="clear" w:color="auto" w:fill="auto"/>
          </w:tcPr>
          <w:p w14:paraId="6BB86F3C" w14:textId="77777777" w:rsidR="00010A97" w:rsidRPr="0074199E" w:rsidRDefault="00010A97" w:rsidP="002F5793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沙特阿美发展公司</w:t>
            </w:r>
          </w:p>
        </w:tc>
        <w:tc>
          <w:tcPr>
            <w:tcW w:w="4486" w:type="dxa"/>
            <w:shd w:val="clear" w:color="auto" w:fill="auto"/>
          </w:tcPr>
          <w:p w14:paraId="1D903B1F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891A68">
              <w:rPr>
                <w:rFonts w:ascii="Times New Roman" w:eastAsia="仿宋" w:hAnsi="Times New Roman" w:hint="eastAsia"/>
                <w:kern w:val="0"/>
                <w:sz w:val="24"/>
                <w:szCs w:val="24"/>
              </w:rPr>
              <w:t>S</w:t>
            </w:r>
            <w:r w:rsidRPr="00891A68">
              <w:rPr>
                <w:rFonts w:ascii="Times New Roman" w:eastAsia="仿宋" w:hAnsi="Times New Roman"/>
                <w:kern w:val="0"/>
                <w:sz w:val="24"/>
                <w:szCs w:val="24"/>
              </w:rPr>
              <w:t>ADCO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是</w:t>
            </w:r>
            <w:r w:rsidRPr="00D54297">
              <w:rPr>
                <w:rFonts w:ascii="Times New Roman" w:eastAsia="仿宋" w:hAnsi="Times New Roman" w:hint="eastAsia"/>
                <w:sz w:val="24"/>
                <w:szCs w:val="24"/>
              </w:rPr>
              <w:t>沙特阿拉伯</w:t>
            </w:r>
            <w:r w:rsidRPr="001D427A">
              <w:rPr>
                <w:rFonts w:ascii="Times New Roman" w:eastAsia="仿宋" w:hAnsi="Times New Roman" w:hint="eastAsia"/>
                <w:sz w:val="24"/>
                <w:szCs w:val="24"/>
              </w:rPr>
              <w:t>国家</w:t>
            </w:r>
            <w:r w:rsidRPr="00D54297">
              <w:rPr>
                <w:rFonts w:ascii="Times New Roman" w:eastAsia="仿宋" w:hAnsi="Times New Roman" w:hint="eastAsia"/>
                <w:sz w:val="24"/>
                <w:szCs w:val="24"/>
              </w:rPr>
              <w:t>石油公司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（“</w:t>
            </w:r>
            <w:r w:rsidRPr="00D54297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沙特阿美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Pr="00D54297">
              <w:rPr>
                <w:rFonts w:ascii="Times New Roman" w:eastAsia="仿宋" w:hAnsi="Times New Roman" w:hint="eastAsia"/>
                <w:sz w:val="24"/>
                <w:szCs w:val="24"/>
              </w:rPr>
              <w:t>的全资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子</w:t>
            </w:r>
            <w:r w:rsidRPr="00D54297">
              <w:rPr>
                <w:rFonts w:ascii="Times New Roman" w:eastAsia="仿宋" w:hAnsi="Times New Roman" w:hint="eastAsia"/>
                <w:sz w:val="24"/>
                <w:szCs w:val="24"/>
              </w:rPr>
              <w:t>公司。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沙特阿美</w:t>
            </w:r>
            <w:r w:rsidRPr="00D54297">
              <w:rPr>
                <w:rFonts w:ascii="Times New Roman" w:eastAsia="仿宋" w:hAnsi="Times New Roman" w:hint="eastAsia"/>
                <w:sz w:val="24"/>
                <w:szCs w:val="24"/>
              </w:rPr>
              <w:t>主要从事原油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的</w:t>
            </w:r>
            <w:r w:rsidRPr="00D54297">
              <w:rPr>
                <w:rFonts w:ascii="Times New Roman" w:eastAsia="仿宋" w:hAnsi="Times New Roman" w:hint="eastAsia"/>
                <w:sz w:val="24"/>
                <w:szCs w:val="24"/>
              </w:rPr>
              <w:t>勘探、生产和营销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活动</w:t>
            </w:r>
            <w:r w:rsidRPr="00D54297">
              <w:rPr>
                <w:rFonts w:ascii="Times New Roman" w:eastAsia="仿宋" w:hAnsi="Times New Roman" w:hint="eastAsia"/>
                <w:sz w:val="24"/>
                <w:szCs w:val="24"/>
              </w:rPr>
              <w:t>，以及少量的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精</w:t>
            </w:r>
            <w:r w:rsidRPr="00D54297">
              <w:rPr>
                <w:rFonts w:ascii="Times New Roman" w:eastAsia="仿宋" w:hAnsi="Times New Roman" w:hint="eastAsia"/>
                <w:sz w:val="24"/>
                <w:szCs w:val="24"/>
              </w:rPr>
              <w:t>炼产品和石化产品生产和营销活动。</w:t>
            </w:r>
          </w:p>
        </w:tc>
      </w:tr>
      <w:tr w:rsidR="00010A97" w:rsidRPr="0074199E" w14:paraId="376F78B2" w14:textId="77777777" w:rsidTr="002F5793">
        <w:trPr>
          <w:trHeight w:val="468"/>
        </w:trPr>
        <w:tc>
          <w:tcPr>
            <w:tcW w:w="2033" w:type="dxa"/>
            <w:vMerge/>
            <w:shd w:val="clear" w:color="auto" w:fill="D9D9D9"/>
          </w:tcPr>
          <w:p w14:paraId="3EA33DAC" w14:textId="77777777" w:rsidR="00010A97" w:rsidRPr="0074199E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2239" w:type="dxa"/>
            <w:shd w:val="clear" w:color="auto" w:fill="auto"/>
          </w:tcPr>
          <w:p w14:paraId="1781BF49" w14:textId="77777777" w:rsidR="00010A97" w:rsidRPr="0074199E" w:rsidRDefault="00010A97" w:rsidP="002F5793">
            <w:pPr>
              <w:numPr>
                <w:ilvl w:val="0"/>
                <w:numId w:val="1"/>
              </w:num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贝克休斯公司</w:t>
            </w:r>
          </w:p>
        </w:tc>
        <w:tc>
          <w:tcPr>
            <w:tcW w:w="4486" w:type="dxa"/>
            <w:shd w:val="clear" w:color="auto" w:fill="auto"/>
          </w:tcPr>
          <w:p w14:paraId="67941827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D54297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贝克休斯是一家全球</w:t>
            </w: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性</w:t>
            </w:r>
            <w:r w:rsidRPr="00D54297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综合油田产品、服务和数字解决方案供应商，</w:t>
            </w: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注册地位于美国特拉华州，总部位于美国得克萨斯州，</w:t>
            </w:r>
            <w:r w:rsidRPr="006F492E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2019</w:t>
            </w:r>
            <w:r w:rsidRPr="006F492E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年</w:t>
            </w:r>
            <w:r w:rsidRPr="006F492E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10</w:t>
            </w:r>
            <w:r w:rsidRPr="006F492E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月</w:t>
            </w:r>
            <w:r w:rsidRPr="006F492E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18</w:t>
            </w:r>
            <w:r w:rsidRPr="006F492E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日在纽约证券交易所上市</w:t>
            </w:r>
            <w:r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。</w:t>
            </w:r>
            <w:r w:rsidRPr="001D427A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贝克休斯所提供的</w:t>
            </w:r>
            <w:r w:rsidRPr="00D54297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产品、服务和数字解决方案可提高整个石油和天然气开发领域上游（评估、钻井、完井和生产）、中游（液化天然气、管道和储存）和下游（炼油及石化解决方案）的生产力，最大限度地降低风险并减少成本。</w:t>
            </w:r>
          </w:p>
        </w:tc>
      </w:tr>
      <w:tr w:rsidR="00010A97" w:rsidRPr="0074199E" w14:paraId="743F4561" w14:textId="77777777" w:rsidTr="002F5793">
        <w:trPr>
          <w:trHeight w:val="279"/>
        </w:trPr>
        <w:tc>
          <w:tcPr>
            <w:tcW w:w="2033" w:type="dxa"/>
            <w:vMerge w:val="restart"/>
            <w:shd w:val="clear" w:color="auto" w:fill="D9D9D9"/>
          </w:tcPr>
          <w:p w14:paraId="4A76070D" w14:textId="77777777" w:rsidR="00010A97" w:rsidRPr="000A063C" w:rsidRDefault="00010A97" w:rsidP="002F5793">
            <w:pPr>
              <w:spacing w:beforeLines="25" w:before="78" w:afterLines="25" w:after="78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0A063C">
              <w:rPr>
                <w:rFonts w:ascii="Times New Roman" w:eastAsia="仿宋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2CF95504" w14:textId="77777777" w:rsidR="00010A97" w:rsidRPr="0074199E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/>
                <w:sz w:val="24"/>
                <w:szCs w:val="24"/>
              </w:rPr>
              <w:t>□1</w:t>
            </w:r>
            <w:r w:rsidRPr="0074199E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在同一相关市场，所有参与集中的经营者所占市场份额之和小于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74199E" w14:paraId="02C60097" w14:textId="77777777" w:rsidTr="002F5793">
        <w:trPr>
          <w:trHeight w:val="330"/>
        </w:trPr>
        <w:tc>
          <w:tcPr>
            <w:tcW w:w="2033" w:type="dxa"/>
            <w:vMerge/>
            <w:shd w:val="clear" w:color="auto" w:fill="D9D9D9"/>
          </w:tcPr>
          <w:p w14:paraId="3A558CA8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7F01CA97" w14:textId="77777777" w:rsidR="00010A97" w:rsidRPr="0074199E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/>
                <w:sz w:val="24"/>
                <w:szCs w:val="24"/>
              </w:rPr>
              <w:t>□2</w:t>
            </w:r>
            <w:r w:rsidRPr="0074199E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存在上下游关系的参与集中的经营者，在上下游市场所占的市场份额均小于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74199E" w14:paraId="3F8296FB" w14:textId="77777777" w:rsidTr="002F5793">
        <w:trPr>
          <w:trHeight w:val="285"/>
        </w:trPr>
        <w:tc>
          <w:tcPr>
            <w:tcW w:w="2033" w:type="dxa"/>
            <w:vMerge/>
            <w:shd w:val="clear" w:color="auto" w:fill="D9D9D9"/>
          </w:tcPr>
          <w:p w14:paraId="01114C8B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0FB22002" w14:textId="77777777" w:rsidR="00010A97" w:rsidRPr="0074199E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/>
                <w:sz w:val="24"/>
                <w:szCs w:val="24"/>
              </w:rPr>
              <w:t>□3</w:t>
            </w:r>
            <w:r w:rsidRPr="0074199E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不在同一相关市场、也不存在上下游关系的参与集中的经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lastRenderedPageBreak/>
              <w:t>营者，在与交易有关的每个市场所占的份额均小于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010A97" w:rsidRPr="0074199E" w14:paraId="058C4F09" w14:textId="77777777" w:rsidTr="002F5793">
        <w:trPr>
          <w:trHeight w:val="588"/>
        </w:trPr>
        <w:tc>
          <w:tcPr>
            <w:tcW w:w="2033" w:type="dxa"/>
            <w:vMerge/>
            <w:shd w:val="clear" w:color="auto" w:fill="D9D9D9"/>
          </w:tcPr>
          <w:p w14:paraId="0FE6F2FC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2A046465" w14:textId="77777777" w:rsidR="00010A97" w:rsidRPr="001D427A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1D427A">
              <w:rPr>
                <w:rFonts w:ascii="Times New Roman" w:eastAsia="仿宋" w:hAnsi="Times New Roman"/>
                <w:bCs/>
              </w:rPr>
              <w:sym w:font="Wingdings" w:char="F0FE"/>
            </w:r>
            <w:r w:rsidRPr="001D427A">
              <w:rPr>
                <w:rFonts w:ascii="Times New Roman" w:eastAsia="仿宋" w:hAnsi="Times New Roman"/>
                <w:bCs/>
                <w:sz w:val="24"/>
                <w:szCs w:val="24"/>
              </w:rPr>
              <w:t>4</w:t>
            </w:r>
            <w:r w:rsidRPr="001D427A">
              <w:rPr>
                <w:rFonts w:ascii="Times New Roman" w:eastAsia="仿宋" w:hAnsi="Times New Roman"/>
                <w:bCs/>
                <w:sz w:val="24"/>
                <w:szCs w:val="24"/>
              </w:rPr>
              <w:t>、</w:t>
            </w:r>
            <w:r w:rsidRPr="001D427A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010A97" w:rsidRPr="0074199E" w14:paraId="0EF6CA48" w14:textId="77777777" w:rsidTr="002F5793">
        <w:trPr>
          <w:trHeight w:val="264"/>
        </w:trPr>
        <w:tc>
          <w:tcPr>
            <w:tcW w:w="2033" w:type="dxa"/>
            <w:vMerge/>
            <w:shd w:val="clear" w:color="auto" w:fill="D9D9D9"/>
          </w:tcPr>
          <w:p w14:paraId="72C0C5A9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686BE9D7" w14:textId="77777777" w:rsidR="00010A97" w:rsidRPr="00175F1D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Pr="00175F1D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Pr="00175F1D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175F1D">
              <w:rPr>
                <w:rFonts w:ascii="Times New Roman" w:eastAsia="仿宋" w:hAnsi="Times New Roman" w:hint="eastAsia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010A97" w:rsidRPr="0074199E" w14:paraId="544AB2A4" w14:textId="77777777" w:rsidTr="002F5793">
        <w:trPr>
          <w:trHeight w:val="345"/>
        </w:trPr>
        <w:tc>
          <w:tcPr>
            <w:tcW w:w="2033" w:type="dxa"/>
            <w:vMerge/>
            <w:shd w:val="clear" w:color="auto" w:fill="D9D9D9"/>
          </w:tcPr>
          <w:p w14:paraId="2CBAD239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161F92AD" w14:textId="77777777" w:rsidR="00010A97" w:rsidRPr="0074199E" w:rsidRDefault="00010A97" w:rsidP="002F5793">
            <w:pPr>
              <w:spacing w:beforeLines="25" w:before="78" w:afterLines="25" w:after="78" w:line="28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74199E">
              <w:rPr>
                <w:rFonts w:ascii="Times New Roman" w:eastAsia="仿宋" w:hAnsi="Times New Roman"/>
                <w:sz w:val="24"/>
                <w:szCs w:val="24"/>
              </w:rPr>
              <w:t>□6</w:t>
            </w:r>
            <w:r w:rsidRPr="0074199E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0A063C">
              <w:rPr>
                <w:rFonts w:ascii="Times New Roman" w:eastAsia="仿宋" w:hAnsi="Times New Roman" w:hint="eastAsia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010A97" w:rsidRPr="0074199E" w14:paraId="176E236C" w14:textId="77777777" w:rsidTr="002F5793">
        <w:tc>
          <w:tcPr>
            <w:tcW w:w="2033" w:type="dxa"/>
            <w:shd w:val="clear" w:color="auto" w:fill="D9D9D9"/>
          </w:tcPr>
          <w:p w14:paraId="50B41578" w14:textId="77777777" w:rsidR="00010A97" w:rsidRPr="0074199E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27A878E8" w14:textId="77777777" w:rsidR="00010A97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  <w:sz w:val="24"/>
                <w:szCs w:val="24"/>
              </w:rPr>
            </w:pPr>
            <w:r w:rsidRPr="006F492E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不适用。</w:t>
            </w:r>
          </w:p>
          <w:p w14:paraId="05332DBB" w14:textId="77777777" w:rsidR="00010A97" w:rsidRPr="00DF2115" w:rsidRDefault="00010A97" w:rsidP="002F5793">
            <w:pPr>
              <w:spacing w:beforeLines="25" w:before="78" w:afterLines="25" w:after="78"/>
              <w:rPr>
                <w:rFonts w:ascii="Times New Roman" w:eastAsia="仿宋" w:hAnsi="Times New Roman"/>
              </w:rPr>
            </w:pPr>
          </w:p>
        </w:tc>
      </w:tr>
    </w:tbl>
    <w:p w14:paraId="77519A75" w14:textId="77777777" w:rsidR="00010A97" w:rsidRPr="0074199E" w:rsidRDefault="00010A97" w:rsidP="00010A97">
      <w:pPr>
        <w:rPr>
          <w:rFonts w:ascii="Times New Roman" w:eastAsia="仿宋" w:hAnsi="Times New Roman"/>
        </w:rPr>
      </w:pPr>
    </w:p>
    <w:p w14:paraId="25069812" w14:textId="77777777" w:rsidR="00672A8C" w:rsidRDefault="00672A8C"/>
    <w:sectPr w:rsidR="00672A8C" w:rsidSect="00174483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CFA0E9" w14:textId="77777777" w:rsidR="00010A97" w:rsidRDefault="00010A97" w:rsidP="00010A97">
      <w:r>
        <w:separator/>
      </w:r>
    </w:p>
  </w:endnote>
  <w:endnote w:type="continuationSeparator" w:id="0">
    <w:p w14:paraId="28013F61" w14:textId="77777777" w:rsidR="00010A97" w:rsidRDefault="00010A97" w:rsidP="00010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D88E2F" w14:textId="77777777" w:rsidR="00174483" w:rsidRPr="00DC0400" w:rsidRDefault="00010A97">
    <w:pPr>
      <w:pStyle w:val="a5"/>
      <w:jc w:val="center"/>
      <w:rPr>
        <w:rFonts w:ascii="Times New Roman" w:hAnsi="Times New Roman"/>
      </w:rPr>
    </w:pPr>
    <w:r w:rsidRPr="00DC0400">
      <w:rPr>
        <w:rFonts w:ascii="Times New Roman" w:hAnsi="Times New Roman"/>
      </w:rPr>
      <w:fldChar w:fldCharType="begin"/>
    </w:r>
    <w:r w:rsidRPr="00DC0400">
      <w:rPr>
        <w:rFonts w:ascii="Times New Roman" w:hAnsi="Times New Roman"/>
      </w:rPr>
      <w:instrText>PAGE   \* MERGEFORMAT</w:instrText>
    </w:r>
    <w:r w:rsidRPr="00DC0400">
      <w:rPr>
        <w:rFonts w:ascii="Times New Roman" w:hAnsi="Times New Roman"/>
      </w:rPr>
      <w:fldChar w:fldCharType="separate"/>
    </w:r>
    <w:r w:rsidRPr="00AC042B">
      <w:rPr>
        <w:rFonts w:ascii="Times New Roman" w:hAnsi="Times New Roman"/>
        <w:noProof/>
        <w:lang w:val="zh-CN"/>
      </w:rPr>
      <w:t>1</w:t>
    </w:r>
    <w:r w:rsidRPr="00DC0400">
      <w:rPr>
        <w:rFonts w:ascii="Times New Roman" w:hAnsi="Times New Roman"/>
      </w:rPr>
      <w:fldChar w:fldCharType="end"/>
    </w:r>
  </w:p>
  <w:p w14:paraId="42D36FF9" w14:textId="77777777" w:rsidR="00174483" w:rsidRDefault="00010A9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4E7945" w14:textId="77777777" w:rsidR="00010A97" w:rsidRDefault="00010A97" w:rsidP="00010A97">
      <w:r>
        <w:separator/>
      </w:r>
    </w:p>
  </w:footnote>
  <w:footnote w:type="continuationSeparator" w:id="0">
    <w:p w14:paraId="72F3049D" w14:textId="77777777" w:rsidR="00010A97" w:rsidRDefault="00010A97" w:rsidP="00010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F6B80" w14:textId="77777777" w:rsidR="00174483" w:rsidRPr="009D0534" w:rsidRDefault="00010A97" w:rsidP="00174483">
    <w:pPr>
      <w:pStyle w:val="a3"/>
      <w:wordWrap w:val="0"/>
      <w:jc w:val="right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32898"/>
    <w:multiLevelType w:val="hybridMultilevel"/>
    <w:tmpl w:val="BA920C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4127C"/>
    <w:rsid w:val="00010A97"/>
    <w:rsid w:val="0004127C"/>
    <w:rsid w:val="001A7E88"/>
    <w:rsid w:val="00672A8C"/>
    <w:rsid w:val="008A0365"/>
    <w:rsid w:val="00D42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86111A-E53C-4E5A-926E-130005AE5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A97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0A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0A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0A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0A97"/>
    <w:rPr>
      <w:sz w:val="18"/>
      <w:szCs w:val="18"/>
    </w:rPr>
  </w:style>
  <w:style w:type="character" w:customStyle="1" w:styleId="1">
    <w:name w:val="页眉 字符1"/>
    <w:basedOn w:val="a0"/>
    <w:uiPriority w:val="99"/>
    <w:rsid w:val="00010A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</dc:creator>
  <cp:keywords/>
  <dc:description/>
  <cp:lastModifiedBy>FD</cp:lastModifiedBy>
  <cp:revision>2</cp:revision>
  <dcterms:created xsi:type="dcterms:W3CDTF">2020-04-27T01:29:00Z</dcterms:created>
  <dcterms:modified xsi:type="dcterms:W3CDTF">2020-04-27T01:29:00Z</dcterms:modified>
</cp:coreProperties>
</file>