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ind w:firstLine="845" w:firstLineChars="302"/>
        <w:rPr>
          <w:rFonts w:ascii="仿宋_GB2312" w:hAnsi="Times New Roman" w:eastAsia="仿宋_GB2312"/>
          <w:sz w:val="28"/>
          <w:szCs w:val="28"/>
        </w:rPr>
      </w:pPr>
      <w:bookmarkStart w:id="0" w:name="_GoBack"/>
      <w:bookmarkEnd w:id="0"/>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深圳市赛格集团有限公司（以下简称“赛格集团”）收购深圳市英唐智能控制股份有限公司（以下简称“英唐智控”）股权案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olor w:val="333333"/>
                <w:kern w:val="0"/>
                <w:sz w:val="24"/>
                <w:szCs w:val="24"/>
              </w:rPr>
              <w:t>本次</w:t>
            </w:r>
            <w:r>
              <w:rPr>
                <w:rFonts w:ascii="仿宋" w:hAnsi="仿宋" w:eastAsia="仿宋"/>
                <w:color w:val="333333"/>
                <w:kern w:val="0"/>
                <w:sz w:val="24"/>
                <w:szCs w:val="24"/>
              </w:rPr>
              <w:t>交易前，</w:t>
            </w:r>
            <w:r>
              <w:rPr>
                <w:rFonts w:hint="eastAsia" w:ascii="仿宋" w:hAnsi="仿宋" w:eastAsia="仿宋"/>
                <w:color w:val="333333"/>
                <w:kern w:val="0"/>
                <w:sz w:val="24"/>
                <w:szCs w:val="24"/>
              </w:rPr>
              <w:t>目标</w:t>
            </w:r>
            <w:r>
              <w:rPr>
                <w:rFonts w:ascii="仿宋" w:hAnsi="仿宋" w:eastAsia="仿宋"/>
                <w:color w:val="333333"/>
                <w:kern w:val="0"/>
                <w:sz w:val="24"/>
                <w:szCs w:val="24"/>
              </w:rPr>
              <w:t>公司</w:t>
            </w:r>
            <w:r>
              <w:rPr>
                <w:rFonts w:hint="eastAsia" w:ascii="仿宋" w:hAnsi="仿宋" w:eastAsia="仿宋"/>
                <w:color w:val="333333"/>
                <w:kern w:val="0"/>
                <w:sz w:val="24"/>
                <w:szCs w:val="24"/>
              </w:rPr>
              <w:t>英唐智控由胡庆周单独</w:t>
            </w:r>
            <w:r>
              <w:rPr>
                <w:rFonts w:ascii="仿宋" w:hAnsi="仿宋" w:eastAsia="仿宋"/>
                <w:color w:val="333333"/>
                <w:kern w:val="0"/>
                <w:sz w:val="24"/>
                <w:szCs w:val="24"/>
              </w:rPr>
              <w:t>控制</w:t>
            </w:r>
            <w:r>
              <w:rPr>
                <w:rFonts w:hint="eastAsia" w:ascii="仿宋" w:hAnsi="仿宋" w:eastAsia="仿宋"/>
                <w:color w:val="333333"/>
                <w:kern w:val="0"/>
                <w:sz w:val="24"/>
                <w:szCs w:val="24"/>
              </w:rPr>
              <w:t>，</w:t>
            </w:r>
            <w:r>
              <w:rPr>
                <w:rFonts w:ascii="仿宋" w:hAnsi="仿宋" w:eastAsia="仿宋"/>
                <w:color w:val="333333"/>
                <w:kern w:val="0"/>
                <w:sz w:val="24"/>
                <w:szCs w:val="24"/>
              </w:rPr>
              <w:t>胡庆周持股</w:t>
            </w:r>
            <w:r>
              <w:rPr>
                <w:rFonts w:hint="eastAsia" w:ascii="仿宋" w:hAnsi="仿宋" w:eastAsia="仿宋"/>
                <w:color w:val="333333"/>
                <w:kern w:val="0"/>
                <w:sz w:val="24"/>
                <w:szCs w:val="24"/>
              </w:rPr>
              <w:t>24.4%。按照协议约定，胡庆周已将其持有的</w:t>
            </w:r>
            <w:r>
              <w:rPr>
                <w:rFonts w:ascii="仿宋" w:hAnsi="仿宋" w:eastAsia="仿宋"/>
                <w:color w:val="333333"/>
                <w:kern w:val="0"/>
                <w:sz w:val="24"/>
                <w:szCs w:val="24"/>
              </w:rPr>
              <w:t>目标公司</w:t>
            </w:r>
            <w:r>
              <w:rPr>
                <w:rFonts w:hint="eastAsia" w:ascii="仿宋" w:hAnsi="仿宋" w:eastAsia="仿宋"/>
                <w:color w:val="333333"/>
                <w:kern w:val="0"/>
                <w:sz w:val="24"/>
                <w:szCs w:val="24"/>
              </w:rPr>
              <w:t>5.23%的股份协议转让至赛格集团，并拟于2020年3月31日前届时持有的目标公司全部股份对应的投票权委托至赛格集团行使。截至2020年3月10日，胡庆周持有目标公司19.92%。截至2020年4月2日，上述原定于2020年3月31日前实施的投票权委托事宜已延期，胡庆周和赛格集团正在协商确定新的委托日期。下一步，赛格集团</w:t>
            </w:r>
            <w:r>
              <w:rPr>
                <w:rFonts w:ascii="仿宋" w:hAnsi="仿宋" w:eastAsia="仿宋"/>
                <w:color w:val="333333"/>
                <w:kern w:val="0"/>
                <w:sz w:val="24"/>
                <w:szCs w:val="24"/>
              </w:rPr>
              <w:t>将</w:t>
            </w:r>
            <w:r>
              <w:rPr>
                <w:rFonts w:hint="eastAsia" w:ascii="仿宋" w:hAnsi="仿宋" w:eastAsia="仿宋"/>
                <w:color w:val="333333"/>
                <w:kern w:val="0"/>
                <w:sz w:val="24"/>
                <w:szCs w:val="24"/>
              </w:rPr>
              <w:t>通过其持有的英唐智控5.23%的股份，以及将从胡庆周</w:t>
            </w:r>
            <w:r>
              <w:rPr>
                <w:rFonts w:ascii="仿宋" w:hAnsi="仿宋" w:eastAsia="仿宋"/>
                <w:color w:val="333333"/>
                <w:kern w:val="0"/>
                <w:sz w:val="24"/>
                <w:szCs w:val="24"/>
              </w:rPr>
              <w:t>处获得的</w:t>
            </w:r>
            <w:r>
              <w:rPr>
                <w:rFonts w:hint="eastAsia" w:ascii="仿宋" w:hAnsi="仿宋" w:eastAsia="仿宋"/>
                <w:color w:val="333333"/>
                <w:kern w:val="0"/>
                <w:sz w:val="24"/>
                <w:szCs w:val="24"/>
              </w:rPr>
              <w:t>19.92%股权</w:t>
            </w:r>
            <w:r>
              <w:rPr>
                <w:rFonts w:ascii="仿宋" w:hAnsi="仿宋" w:eastAsia="仿宋"/>
                <w:color w:val="333333"/>
                <w:kern w:val="0"/>
                <w:sz w:val="24"/>
                <w:szCs w:val="24"/>
              </w:rPr>
              <w:t>所对应的</w:t>
            </w:r>
            <w:r>
              <w:rPr>
                <w:rFonts w:hint="eastAsia" w:ascii="仿宋" w:hAnsi="仿宋" w:eastAsia="仿宋"/>
                <w:color w:val="333333"/>
                <w:kern w:val="0"/>
                <w:sz w:val="24"/>
                <w:szCs w:val="24"/>
              </w:rPr>
              <w:t>投票权</w:t>
            </w:r>
            <w:r>
              <w:rPr>
                <w:rFonts w:ascii="仿宋" w:hAnsi="仿宋" w:eastAsia="仿宋"/>
                <w:color w:val="333333"/>
                <w:kern w:val="0"/>
                <w:sz w:val="24"/>
                <w:szCs w:val="24"/>
              </w:rPr>
              <w:t>，</w:t>
            </w:r>
            <w:r>
              <w:rPr>
                <w:rFonts w:hint="eastAsia" w:ascii="仿宋" w:hAnsi="仿宋" w:eastAsia="仿宋"/>
                <w:color w:val="333333"/>
                <w:kern w:val="0"/>
                <w:sz w:val="24"/>
                <w:szCs w:val="24"/>
              </w:rPr>
              <w:t>共计取得</w:t>
            </w:r>
            <w:r>
              <w:rPr>
                <w:rFonts w:ascii="仿宋" w:hAnsi="仿宋" w:eastAsia="仿宋"/>
                <w:color w:val="333333"/>
                <w:kern w:val="0"/>
                <w:sz w:val="24"/>
                <w:szCs w:val="24"/>
              </w:rPr>
              <w:t>目标公司</w:t>
            </w:r>
            <w:r>
              <w:rPr>
                <w:rFonts w:hint="eastAsia" w:ascii="仿宋" w:hAnsi="仿宋" w:eastAsia="仿宋"/>
                <w:color w:val="333333"/>
                <w:kern w:val="0"/>
                <w:sz w:val="24"/>
                <w:szCs w:val="24"/>
              </w:rPr>
              <w:t>25.15%股份对应的投票权，并按照与胡庆周的协议约定提名英唐智控董事会半数以上董事席位，</w:t>
            </w:r>
            <w:r>
              <w:rPr>
                <w:rFonts w:ascii="仿宋" w:hAnsi="仿宋" w:eastAsia="仿宋"/>
                <w:color w:val="333333"/>
                <w:kern w:val="0"/>
                <w:sz w:val="24"/>
                <w:szCs w:val="24"/>
              </w:rPr>
              <w:t>从而</w:t>
            </w:r>
            <w:r>
              <w:rPr>
                <w:rFonts w:hint="eastAsia" w:ascii="仿宋" w:hAnsi="仿宋" w:eastAsia="仿宋"/>
                <w:color w:val="333333"/>
                <w:kern w:val="0"/>
                <w:sz w:val="24"/>
                <w:szCs w:val="24"/>
              </w:rPr>
              <w:t>取得对英唐智控的单独控制权。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1、赛格集团</w:t>
            </w:r>
          </w:p>
        </w:tc>
        <w:tc>
          <w:tcPr>
            <w:tcW w:w="5153" w:type="dxa"/>
          </w:tcPr>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赛格集团是一家综合性产业集团</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主营业务为</w:t>
            </w:r>
            <w:r>
              <w:rPr>
                <w:rFonts w:hint="eastAsia" w:ascii="仿宋" w:hAnsi="仿宋" w:eastAsia="仿宋" w:cs="宋体"/>
                <w:color w:val="333333"/>
                <w:kern w:val="0"/>
                <w:sz w:val="24"/>
                <w:szCs w:val="24"/>
              </w:rPr>
              <w:t>电子专业市场运营、功率半导体芯片制造和销售、碲化镉光伏组件生产及销售、商业地产（产业园区）开发。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2、英唐智控</w:t>
            </w:r>
          </w:p>
        </w:tc>
        <w:tc>
          <w:tcPr>
            <w:tcW w:w="5153" w:type="dxa"/>
          </w:tcPr>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英唐智控主营业务为电子元器件产品的销售</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涉及的产品主要包括存储芯片</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电容</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电阻</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电感等</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hint="eastAsia" w:ascii="仿宋" w:hAnsi="仿宋" w:eastAsia="仿宋"/>
                <w:color w:val="333333"/>
                <w:kern w:val="0"/>
                <w:sz w:val="24"/>
                <w:szCs w:val="24"/>
                <w:lang w:val="en-US" w:eastAsia="zh-CN"/>
              </w:rPr>
            </w:pPr>
            <w:r>
              <w:rPr>
                <w:rFonts w:hint="eastAsia" w:ascii="仿宋" w:hAnsi="仿宋" w:eastAsia="仿宋"/>
                <w:color w:val="333333"/>
                <w:kern w:val="0"/>
                <w:sz w:val="24"/>
                <w:szCs w:val="24"/>
                <w:lang w:val="en-US" w:eastAsia="zh-CN"/>
              </w:rPr>
              <w:t>上游</w:t>
            </w:r>
          </w:p>
          <w:p>
            <w:pPr>
              <w:spacing w:line="500" w:lineRule="exact"/>
              <w:rPr>
                <w:rFonts w:hint="eastAsia" w:ascii="仿宋" w:hAnsi="仿宋" w:eastAsia="仿宋"/>
                <w:color w:val="333333"/>
                <w:kern w:val="0"/>
                <w:sz w:val="24"/>
                <w:szCs w:val="24"/>
              </w:rPr>
            </w:pPr>
            <w:r>
              <w:rPr>
                <w:rFonts w:hint="eastAsia" w:ascii="仿宋" w:hAnsi="仿宋" w:eastAsia="仿宋"/>
                <w:color w:val="333333"/>
                <w:kern w:val="0"/>
                <w:sz w:val="24"/>
                <w:szCs w:val="24"/>
                <w:lang w:val="en-US" w:eastAsia="zh-CN"/>
              </w:rPr>
              <w:t>MOSFET晶体管：全球：</w:t>
            </w:r>
            <w:r>
              <w:rPr>
                <w:rFonts w:hint="eastAsia" w:ascii="仿宋" w:hAnsi="仿宋" w:eastAsia="仿宋"/>
                <w:color w:val="333333"/>
                <w:kern w:val="0"/>
                <w:sz w:val="24"/>
                <w:szCs w:val="24"/>
              </w:rPr>
              <w:t>[0-5]%</w:t>
            </w:r>
            <w:r>
              <w:rPr>
                <w:rFonts w:hint="eastAsia" w:ascii="仿宋" w:hAnsi="仿宋" w:eastAsia="仿宋"/>
                <w:color w:val="333333"/>
                <w:kern w:val="0"/>
                <w:sz w:val="24"/>
                <w:szCs w:val="24"/>
                <w:lang w:eastAsia="zh-CN"/>
              </w:rPr>
              <w:t>，中国：</w:t>
            </w:r>
            <w:r>
              <w:rPr>
                <w:rFonts w:hint="eastAsia" w:ascii="仿宋" w:hAnsi="仿宋" w:eastAsia="仿宋"/>
                <w:color w:val="333333"/>
                <w:kern w:val="0"/>
                <w:sz w:val="24"/>
                <w:szCs w:val="24"/>
              </w:rPr>
              <w:t>[0-5]%</w:t>
            </w:r>
          </w:p>
          <w:p>
            <w:pPr>
              <w:spacing w:line="500" w:lineRule="exact"/>
              <w:rPr>
                <w:rFonts w:hint="eastAsia" w:ascii="仿宋" w:hAnsi="仿宋" w:eastAsia="仿宋"/>
                <w:color w:val="333333"/>
                <w:kern w:val="0"/>
                <w:sz w:val="24"/>
                <w:szCs w:val="24"/>
              </w:rPr>
            </w:pPr>
            <w:r>
              <w:rPr>
                <w:rFonts w:hint="eastAsia" w:ascii="仿宋" w:hAnsi="仿宋" w:eastAsia="仿宋"/>
                <w:color w:val="333333"/>
                <w:kern w:val="0"/>
                <w:sz w:val="24"/>
                <w:szCs w:val="24"/>
                <w:lang w:eastAsia="zh-CN"/>
              </w:rPr>
              <w:t>双极型功率晶体管：</w:t>
            </w:r>
            <w:r>
              <w:rPr>
                <w:rFonts w:hint="eastAsia" w:ascii="仿宋" w:hAnsi="仿宋" w:eastAsia="仿宋"/>
                <w:color w:val="333333"/>
                <w:kern w:val="0"/>
                <w:sz w:val="24"/>
                <w:szCs w:val="24"/>
                <w:lang w:val="en-US" w:eastAsia="zh-CN"/>
              </w:rPr>
              <w:t>全球：</w:t>
            </w:r>
            <w:r>
              <w:rPr>
                <w:rFonts w:hint="eastAsia" w:ascii="仿宋" w:hAnsi="仿宋" w:eastAsia="仿宋"/>
                <w:color w:val="333333"/>
                <w:kern w:val="0"/>
                <w:sz w:val="24"/>
                <w:szCs w:val="24"/>
              </w:rPr>
              <w:t>[0-5]%</w:t>
            </w:r>
            <w:r>
              <w:rPr>
                <w:rFonts w:hint="eastAsia" w:ascii="仿宋" w:hAnsi="仿宋" w:eastAsia="仿宋"/>
                <w:color w:val="333333"/>
                <w:kern w:val="0"/>
                <w:sz w:val="24"/>
                <w:szCs w:val="24"/>
                <w:lang w:eastAsia="zh-CN"/>
              </w:rPr>
              <w:t>，中国：</w:t>
            </w:r>
            <w:r>
              <w:rPr>
                <w:rFonts w:hint="eastAsia" w:ascii="仿宋" w:hAnsi="仿宋" w:eastAsia="仿宋"/>
                <w:color w:val="333333"/>
                <w:kern w:val="0"/>
                <w:sz w:val="24"/>
                <w:szCs w:val="24"/>
              </w:rPr>
              <w:t>[0-5]%</w:t>
            </w:r>
          </w:p>
          <w:p>
            <w:pPr>
              <w:spacing w:line="500" w:lineRule="exact"/>
              <w:rPr>
                <w:rFonts w:hint="default" w:ascii="仿宋" w:hAnsi="仿宋" w:eastAsia="仿宋"/>
                <w:color w:val="333333"/>
                <w:kern w:val="0"/>
                <w:sz w:val="24"/>
                <w:szCs w:val="24"/>
                <w:lang w:val="en-US" w:eastAsia="zh-CN"/>
              </w:rPr>
            </w:pPr>
            <w:r>
              <w:rPr>
                <w:rFonts w:hint="eastAsia" w:ascii="仿宋" w:hAnsi="仿宋" w:eastAsia="仿宋"/>
                <w:color w:val="333333"/>
                <w:kern w:val="0"/>
                <w:sz w:val="24"/>
                <w:szCs w:val="24"/>
                <w:lang w:val="en-US" w:eastAsia="zh-CN"/>
              </w:rPr>
              <w:t>LED照明驱动芯片：全球：</w:t>
            </w:r>
            <w:r>
              <w:rPr>
                <w:rFonts w:hint="eastAsia" w:ascii="仿宋" w:hAnsi="仿宋" w:eastAsia="仿宋"/>
                <w:color w:val="333333"/>
                <w:kern w:val="0"/>
                <w:sz w:val="24"/>
                <w:szCs w:val="24"/>
              </w:rPr>
              <w:t>[0-5]%</w:t>
            </w:r>
            <w:r>
              <w:rPr>
                <w:rFonts w:hint="eastAsia" w:ascii="仿宋" w:hAnsi="仿宋" w:eastAsia="仿宋"/>
                <w:color w:val="333333"/>
                <w:kern w:val="0"/>
                <w:sz w:val="24"/>
                <w:szCs w:val="24"/>
                <w:lang w:eastAsia="zh-CN"/>
              </w:rPr>
              <w:t>，中国：</w:t>
            </w:r>
            <w:r>
              <w:rPr>
                <w:rFonts w:hint="eastAsia" w:ascii="仿宋" w:hAnsi="仿宋" w:eastAsia="仿宋"/>
                <w:color w:val="333333"/>
                <w:kern w:val="0"/>
                <w:sz w:val="24"/>
                <w:szCs w:val="24"/>
              </w:rPr>
              <w:t>[0-5]%</w:t>
            </w:r>
          </w:p>
          <w:p>
            <w:pPr>
              <w:spacing w:line="500" w:lineRule="exact"/>
              <w:rPr>
                <w:rFonts w:hint="eastAsia" w:ascii="仿宋" w:hAnsi="仿宋" w:eastAsia="仿宋"/>
                <w:color w:val="333333"/>
                <w:kern w:val="0"/>
                <w:sz w:val="24"/>
                <w:szCs w:val="24"/>
                <w:lang w:eastAsia="zh-CN"/>
              </w:rPr>
            </w:pPr>
            <w:r>
              <w:rPr>
                <w:rFonts w:hint="eastAsia" w:ascii="仿宋" w:hAnsi="仿宋" w:eastAsia="仿宋"/>
                <w:color w:val="333333"/>
                <w:kern w:val="0"/>
                <w:sz w:val="24"/>
                <w:szCs w:val="24"/>
                <w:lang w:eastAsia="zh-CN"/>
              </w:rPr>
              <w:t>下游</w:t>
            </w:r>
          </w:p>
          <w:p>
            <w:pPr>
              <w:spacing w:line="500" w:lineRule="exact"/>
              <w:rPr>
                <w:rFonts w:ascii="Times New Roman" w:hAnsi="Times New Roman" w:eastAsia="仿宋_GB2312" w:cs="Times New Roman"/>
                <w:sz w:val="24"/>
                <w:szCs w:val="24"/>
              </w:rPr>
            </w:pPr>
            <w:r>
              <w:rPr>
                <w:rFonts w:hint="eastAsia" w:ascii="仿宋" w:hAnsi="仿宋" w:eastAsia="仿宋"/>
                <w:color w:val="333333"/>
                <w:kern w:val="0"/>
                <w:sz w:val="24"/>
                <w:szCs w:val="24"/>
                <w:lang w:eastAsia="zh-CN"/>
              </w:rPr>
              <w:t>电子元器件分销：</w:t>
            </w:r>
            <w:r>
              <w:rPr>
                <w:rFonts w:hint="eastAsia" w:ascii="仿宋" w:hAnsi="仿宋" w:eastAsia="仿宋"/>
                <w:color w:val="333333"/>
                <w:kern w:val="0"/>
                <w:sz w:val="24"/>
                <w:szCs w:val="24"/>
                <w:lang w:val="en-US" w:eastAsia="zh-CN"/>
              </w:rPr>
              <w:t>全球：</w:t>
            </w:r>
            <w:r>
              <w:rPr>
                <w:rFonts w:hint="eastAsia" w:ascii="仿宋" w:hAnsi="仿宋" w:eastAsia="仿宋"/>
                <w:color w:val="333333"/>
                <w:kern w:val="0"/>
                <w:sz w:val="24"/>
                <w:szCs w:val="24"/>
              </w:rPr>
              <w:t>[0-5]%</w:t>
            </w:r>
            <w:r>
              <w:rPr>
                <w:rFonts w:hint="eastAsia" w:ascii="仿宋" w:hAnsi="仿宋" w:eastAsia="仿宋"/>
                <w:color w:val="333333"/>
                <w:kern w:val="0"/>
                <w:sz w:val="24"/>
                <w:szCs w:val="24"/>
                <w:lang w:eastAsia="zh-CN"/>
              </w:rPr>
              <w:t>，中国：</w:t>
            </w:r>
            <w:r>
              <w:rPr>
                <w:rFonts w:hint="eastAsia" w:ascii="仿宋" w:hAnsi="仿宋" w:eastAsia="仿宋"/>
                <w:color w:val="333333"/>
                <w:kern w:val="0"/>
                <w:sz w:val="24"/>
                <w:szCs w:val="24"/>
              </w:rPr>
              <w:t>[</w:t>
            </w:r>
            <w:r>
              <w:rPr>
                <w:rFonts w:hint="eastAsia" w:ascii="仿宋" w:hAnsi="仿宋" w:eastAsia="仿宋"/>
                <w:color w:val="333333"/>
                <w:kern w:val="0"/>
                <w:sz w:val="24"/>
                <w:szCs w:val="24"/>
                <w:lang w:val="en-US" w:eastAsia="zh-CN"/>
              </w:rPr>
              <w:t>5</w:t>
            </w:r>
            <w:r>
              <w:rPr>
                <w:rFonts w:hint="eastAsia" w:ascii="仿宋" w:hAnsi="仿宋" w:eastAsia="仿宋"/>
                <w:color w:val="333333"/>
                <w:kern w:val="0"/>
                <w:sz w:val="24"/>
                <w:szCs w:val="24"/>
              </w:rPr>
              <w:t>-</w:t>
            </w:r>
            <w:r>
              <w:rPr>
                <w:rFonts w:hint="eastAsia" w:ascii="仿宋" w:hAnsi="仿宋" w:eastAsia="仿宋"/>
                <w:color w:val="333333"/>
                <w:kern w:val="0"/>
                <w:sz w:val="24"/>
                <w:szCs w:val="24"/>
                <w:lang w:val="en-US" w:eastAsia="zh-CN"/>
              </w:rPr>
              <w:t>10</w:t>
            </w:r>
            <w:r>
              <w:rPr>
                <w:rFonts w:hint="eastAsia" w:ascii="仿宋" w:hAnsi="仿宋" w:eastAsia="仿宋"/>
                <w:color w:val="333333"/>
                <w:kern w:val="0"/>
                <w:sz w:val="24"/>
                <w:szCs w:val="24"/>
              </w:rPr>
              <w:t>]%</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hint="eastAsia" w:ascii="仿宋" w:hAnsi="仿宋" w:eastAsia="仿宋" w:cs="仿宋"/>
          <w:sz w:val="24"/>
          <w:szCs w:val="24"/>
        </w:rPr>
      </w:pPr>
      <w:r>
        <w:rPr>
          <w:rFonts w:hint="eastAsia" w:ascii="仿宋" w:hAnsi="仿宋" w:eastAsia="仿宋" w:cs="仿宋"/>
          <w:sz w:val="24"/>
          <w:szCs w:val="24"/>
        </w:rPr>
        <w:t>注解：</w:t>
      </w:r>
    </w:p>
    <w:p>
      <w:pPr>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hint="eastAsia" w:ascii="仿宋" w:hAnsi="仿宋" w:eastAsia="仿宋" w:cs="仿宋"/>
          <w:sz w:val="28"/>
          <w:szCs w:val="28"/>
        </w:rPr>
      </w:pPr>
      <w:r>
        <w:rPr>
          <w:rFonts w:hint="eastAsia" w:ascii="仿宋" w:hAnsi="仿宋" w:eastAsia="仿宋" w:cs="仿宋"/>
          <w:sz w:val="24"/>
          <w:szCs w:val="24"/>
        </w:rPr>
        <w:t>2.申报方申请简易案件的理由是基于第4项、第5项时，无须在备注中说明相关市场和市场份额。</w:t>
      </w:r>
      <w:r>
        <w:rPr>
          <w:rFonts w:hint="eastAsia" w:ascii="仿宋" w:hAnsi="仿宋" w:eastAsia="仿宋" w:cs="仿宋"/>
          <w:sz w:val="24"/>
          <w:szCs w:val="24"/>
        </w:rPr>
        <w:br w:type="textWrapping"/>
      </w:r>
      <w:r>
        <w:rPr>
          <w:rFonts w:hint="eastAsia" w:ascii="仿宋" w:hAnsi="仿宋" w:eastAsia="仿宋" w:cs="仿宋"/>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rFonts w:hint="eastAsia" w:ascii="仿宋" w:hAnsi="仿宋" w:eastAsia="仿宋" w:cs="仿宋"/>
        </w:rPr>
      </w:pPr>
    </w:p>
    <w:p>
      <w:pPr>
        <w:rPr>
          <w:rFonts w:hint="eastAsia" w:ascii="仿宋" w:hAnsi="仿宋" w:eastAsia="仿宋" w:cs="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方正仿宋_GBK">
    <w:altName w:val="Arial Unicode MS"/>
    <w:panose1 w:val="00000000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方正仿宋_GBK">
    <w:altName w:val="Arial Unicode M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670B7"/>
    <w:rsid w:val="000D7EBA"/>
    <w:rsid w:val="001164CD"/>
    <w:rsid w:val="00155717"/>
    <w:rsid w:val="001837A3"/>
    <w:rsid w:val="00213640"/>
    <w:rsid w:val="003628A4"/>
    <w:rsid w:val="003A4200"/>
    <w:rsid w:val="003C0AEB"/>
    <w:rsid w:val="004F7688"/>
    <w:rsid w:val="006467D8"/>
    <w:rsid w:val="006A531B"/>
    <w:rsid w:val="006F7693"/>
    <w:rsid w:val="00707A06"/>
    <w:rsid w:val="00710140"/>
    <w:rsid w:val="007178BD"/>
    <w:rsid w:val="007B237E"/>
    <w:rsid w:val="007F2275"/>
    <w:rsid w:val="00870E6F"/>
    <w:rsid w:val="00915F0F"/>
    <w:rsid w:val="009532DF"/>
    <w:rsid w:val="00997019"/>
    <w:rsid w:val="009A5029"/>
    <w:rsid w:val="009D38D5"/>
    <w:rsid w:val="00A46A5B"/>
    <w:rsid w:val="00A53F26"/>
    <w:rsid w:val="00AA0CC5"/>
    <w:rsid w:val="00AF056C"/>
    <w:rsid w:val="00B16AFE"/>
    <w:rsid w:val="00B65DD5"/>
    <w:rsid w:val="00BD10B6"/>
    <w:rsid w:val="00C07076"/>
    <w:rsid w:val="00CB00DF"/>
    <w:rsid w:val="00CB4C70"/>
    <w:rsid w:val="00CF08AC"/>
    <w:rsid w:val="00D0668A"/>
    <w:rsid w:val="00D73C72"/>
    <w:rsid w:val="00E04FF7"/>
    <w:rsid w:val="00E0592B"/>
    <w:rsid w:val="00E31738"/>
    <w:rsid w:val="00E86786"/>
    <w:rsid w:val="00ED2F80"/>
    <w:rsid w:val="00F1624E"/>
    <w:rsid w:val="00F270B3"/>
    <w:rsid w:val="00F32F8A"/>
    <w:rsid w:val="00F51BB7"/>
    <w:rsid w:val="00F810AA"/>
    <w:rsid w:val="00F91F64"/>
    <w:rsid w:val="00FB43EC"/>
    <w:rsid w:val="00FB6B40"/>
    <w:rsid w:val="1D195C73"/>
    <w:rsid w:val="1FBE0E8E"/>
    <w:rsid w:val="24305647"/>
    <w:rsid w:val="2A2365C8"/>
    <w:rsid w:val="40E8068B"/>
    <w:rsid w:val="46D65B88"/>
    <w:rsid w:val="47EC372D"/>
    <w:rsid w:val="48EA5FEA"/>
    <w:rsid w:val="4EA207C3"/>
    <w:rsid w:val="4F5A7F5C"/>
    <w:rsid w:val="5C247133"/>
    <w:rsid w:val="645A224E"/>
    <w:rsid w:val="68DE0102"/>
    <w:rsid w:val="7F226B7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widowControl/>
      <w:spacing w:after="200" w:line="276" w:lineRule="auto"/>
      <w:ind w:left="720"/>
      <w:contextualSpacing/>
      <w:jc w:val="left"/>
    </w:pPr>
    <w:rPr>
      <w:rFonts w:asciiTheme="minorHAnsi" w:hAnsiTheme="minorHAnsi" w:eastAsiaTheme="minorEastAsia" w:cstheme="minorBidi"/>
      <w:kern w:val="0"/>
      <w:sz w:val="22"/>
      <w:lang w:bidi="he-IL"/>
    </w:rPr>
  </w:style>
  <w:style w:type="character" w:customStyle="1" w:styleId="7">
    <w:name w:val="页眉 Char"/>
    <w:basedOn w:val="4"/>
    <w:link w:val="3"/>
    <w:uiPriority w:val="99"/>
    <w:rPr>
      <w:rFonts w:ascii="Calibri" w:hAnsi="Calibri" w:eastAsia="宋体" w:cs="Times New Roman"/>
      <w:sz w:val="18"/>
      <w:szCs w:val="18"/>
    </w:rPr>
  </w:style>
  <w:style w:type="character" w:customStyle="1" w:styleId="8">
    <w:name w:val="页脚 Char"/>
    <w:basedOn w:val="4"/>
    <w:link w:val="2"/>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Pages>
  <Words>202</Words>
  <Characters>1152</Characters>
  <Lines>9</Lines>
  <Paragraphs>2</Paragraphs>
  <TotalTime>0</TotalTime>
  <ScaleCrop>false</ScaleCrop>
  <LinksUpToDate>false</LinksUpToDate>
  <CharactersWithSpaces>1352</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2020-04-02T11:26:00Z</dcterms:created>
  <dc:creator>陈媚</dc:creator>
  <cp:lastModifiedBy>Administrator</cp:lastModifiedBy>
  <dcterms:modified xsi:type="dcterms:W3CDTF">2020-04-09T09:10:38Z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