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FA19D" w14:textId="77777777" w:rsidR="00A12FCB" w:rsidRPr="009A4858" w:rsidRDefault="00A12FCB" w:rsidP="00A12FCB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9A4858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14:paraId="0337F209" w14:textId="77777777" w:rsidR="00A12FCB" w:rsidRPr="009A4858" w:rsidRDefault="00A12FCB" w:rsidP="00A12FCB">
      <w:pPr>
        <w:spacing w:line="440" w:lineRule="exact"/>
        <w:rPr>
          <w:rFonts w:ascii="仿宋_GB2312" w:eastAsia="仿宋_GB2312" w:hAnsi="Times New Roman" w:cs="Times New Roman"/>
          <w:sz w:val="28"/>
          <w:szCs w:val="28"/>
        </w:rPr>
      </w:pPr>
    </w:p>
    <w:tbl>
      <w:tblPr>
        <w:tblStyle w:val="1"/>
        <w:tblW w:w="8477" w:type="dxa"/>
        <w:tblInd w:w="-5" w:type="dxa"/>
        <w:tblLook w:val="04A0" w:firstRow="1" w:lastRow="0" w:firstColumn="1" w:lastColumn="0" w:noHBand="0" w:noVBand="1"/>
      </w:tblPr>
      <w:tblGrid>
        <w:gridCol w:w="1673"/>
        <w:gridCol w:w="1937"/>
        <w:gridCol w:w="4867"/>
      </w:tblGrid>
      <w:tr w:rsidR="00A12FCB" w:rsidRPr="009A4858" w14:paraId="626BEE85" w14:textId="77777777" w:rsidTr="00C600DD">
        <w:tc>
          <w:tcPr>
            <w:tcW w:w="1673" w:type="dxa"/>
            <w:shd w:val="clear" w:color="auto" w:fill="D9D9D9"/>
            <w:vAlign w:val="center"/>
          </w:tcPr>
          <w:p w14:paraId="144CE943" w14:textId="77777777" w:rsidR="00A12FCB" w:rsidRPr="009A4858" w:rsidRDefault="00A12FCB" w:rsidP="00C600DD">
            <w:pPr>
              <w:widowControl/>
              <w:snapToGrid w:val="0"/>
              <w:spacing w:beforeLines="50" w:before="156" w:afterLines="50" w:after="156" w:line="400" w:lineRule="exact"/>
              <w:jc w:val="center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案件名称</w:t>
            </w:r>
          </w:p>
        </w:tc>
        <w:tc>
          <w:tcPr>
            <w:tcW w:w="6804" w:type="dxa"/>
            <w:gridSpan w:val="2"/>
          </w:tcPr>
          <w:p w14:paraId="659D6656" w14:textId="6A68F448" w:rsidR="00A12FCB" w:rsidRPr="009A4858" w:rsidRDefault="004C395D" w:rsidP="00C600DD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4C395D">
              <w:rPr>
                <w:rFonts w:ascii="Times New Roman" w:eastAsia="宋体" w:hAnsi="宋体" w:cs="Times New Roman" w:hint="eastAsia"/>
                <w:sz w:val="24"/>
                <w:szCs w:val="24"/>
              </w:rPr>
              <w:t>苏州新建元控股集团有限公司收购重庆普昭科技产业发展有限公司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股权案</w:t>
            </w:r>
          </w:p>
        </w:tc>
      </w:tr>
      <w:tr w:rsidR="00A12FCB" w:rsidRPr="009A4858" w14:paraId="6F3FCAEB" w14:textId="77777777" w:rsidTr="00C600DD">
        <w:trPr>
          <w:trHeight w:val="993"/>
        </w:trPr>
        <w:tc>
          <w:tcPr>
            <w:tcW w:w="1673" w:type="dxa"/>
            <w:shd w:val="clear" w:color="auto" w:fill="D9D9D9"/>
            <w:vAlign w:val="center"/>
          </w:tcPr>
          <w:p w14:paraId="61AA5921" w14:textId="77777777" w:rsidR="00A12FCB" w:rsidRPr="009A4858" w:rsidRDefault="00A12FCB" w:rsidP="00C600DD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交易概况（限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200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字内）</w:t>
            </w:r>
          </w:p>
        </w:tc>
        <w:tc>
          <w:tcPr>
            <w:tcW w:w="6804" w:type="dxa"/>
            <w:gridSpan w:val="2"/>
          </w:tcPr>
          <w:p w14:paraId="5F2A27A5" w14:textId="2880F5E6" w:rsidR="00A12FCB" w:rsidRPr="009A4858" w:rsidRDefault="004C395D" w:rsidP="00C600DD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宋体" w:cs="Times New Roman"/>
                <w:bCs/>
                <w:sz w:val="24"/>
                <w:szCs w:val="24"/>
              </w:rPr>
            </w:pPr>
            <w:r w:rsidRPr="004C395D">
              <w:rPr>
                <w:rFonts w:ascii="Times New Roman" w:eastAsia="宋体" w:hAnsi="宋体" w:cs="Times New Roman" w:hint="eastAsia"/>
                <w:sz w:val="24"/>
                <w:szCs w:val="24"/>
              </w:rPr>
              <w:t>苏州新建元控股集团有限公司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（下称“新建元公司”）的全资子公司</w:t>
            </w:r>
            <w:r w:rsidRPr="004C395D">
              <w:rPr>
                <w:rFonts w:ascii="Times New Roman" w:eastAsia="宋体" w:hAnsi="宋体" w:cs="Times New Roman" w:hint="eastAsia"/>
                <w:sz w:val="24"/>
                <w:szCs w:val="24"/>
              </w:rPr>
              <w:t>苏州新建元产业发展有限公司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（下称“新建元产业公司”）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拟通过增资</w:t>
            </w:r>
            <w:r w:rsid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的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交易</w:t>
            </w:r>
            <w:r w:rsid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方式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取得</w:t>
            </w:r>
            <w:r w:rsidR="007619ED" w:rsidRP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重庆普昭科技产业发展有限公司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（下称“</w:t>
            </w:r>
            <w:r w:rsidR="007619ED" w:rsidRP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重庆普昭</w:t>
            </w:r>
            <w:r w:rsid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”）</w:t>
            </w:r>
            <w:r w:rsid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3</w:t>
            </w:r>
            <w:r w:rsidR="00A12FCB" w:rsidRPr="009A4858">
              <w:rPr>
                <w:rFonts w:ascii="Times New Roman" w:eastAsia="宋体" w:hAnsi="宋体" w:cs="Times New Roman"/>
                <w:sz w:val="24"/>
                <w:szCs w:val="24"/>
              </w:rPr>
              <w:t>0%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的</w:t>
            </w:r>
            <w:r w:rsidR="00A12FCB" w:rsidRPr="009A4858">
              <w:rPr>
                <w:rFonts w:ascii="Times New Roman" w:eastAsia="宋体" w:hAnsi="宋体" w:cs="Times New Roman"/>
                <w:sz w:val="24"/>
                <w:szCs w:val="24"/>
              </w:rPr>
              <w:t>股权</w:t>
            </w:r>
            <w:r w:rsidR="00A12FCB"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。在本次交易完成后，</w:t>
            </w:r>
            <w:r w:rsid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新建元产业公司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将持有</w:t>
            </w:r>
            <w:r w:rsidR="005B3175" w:rsidRP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重庆普昭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30%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的股权，普洛斯中国控股有限公司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(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下称“普洛斯公司”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)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的全资子公司</w:t>
            </w:r>
            <w:r w:rsidR="005B3175" w:rsidRPr="005B3175">
              <w:rPr>
                <w:rFonts w:ascii="Times New Roman" w:eastAsia="宋体" w:hAnsi="宋体" w:cs="Times New Roman"/>
                <w:sz w:val="24"/>
                <w:szCs w:val="24"/>
              </w:rPr>
              <w:t>CLH 80</w:t>
            </w:r>
            <w:r w:rsidR="005B3175" w:rsidRPr="005B3175">
              <w:rPr>
                <w:rFonts w:ascii="Times New Roman" w:eastAsia="宋体" w:hAnsi="宋体" w:cs="Times New Roman"/>
                <w:sz w:val="24"/>
                <w:szCs w:val="24"/>
              </w:rPr>
              <w:t>（</w:t>
            </w:r>
            <w:r w:rsidR="005B3175" w:rsidRPr="005B3175">
              <w:rPr>
                <w:rFonts w:ascii="Times New Roman" w:eastAsia="宋体" w:hAnsi="宋体" w:cs="Times New Roman"/>
                <w:sz w:val="24"/>
                <w:szCs w:val="24"/>
              </w:rPr>
              <w:t>HK</w:t>
            </w:r>
            <w:r w:rsidR="005B3175" w:rsidRPr="005B3175">
              <w:rPr>
                <w:rFonts w:ascii="Times New Roman" w:eastAsia="宋体" w:hAnsi="宋体" w:cs="Times New Roman"/>
                <w:sz w:val="24"/>
                <w:szCs w:val="24"/>
              </w:rPr>
              <w:t>）</w:t>
            </w:r>
            <w:r w:rsidR="005B3175" w:rsidRPr="005B3175">
              <w:rPr>
                <w:rFonts w:ascii="Times New Roman" w:eastAsia="宋体" w:hAnsi="宋体" w:cs="Times New Roman"/>
                <w:sz w:val="24"/>
                <w:szCs w:val="24"/>
              </w:rPr>
              <w:t>Limited</w:t>
            </w:r>
            <w:r w:rsidR="00A12FCB"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将</w:t>
            </w:r>
            <w:r w:rsidR="005B317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继续持有</w:t>
            </w:r>
            <w:r w:rsidR="005B3175" w:rsidRP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重庆普昭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70%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的股权，</w:t>
            </w:r>
            <w:r w:rsidR="0041196F">
              <w:rPr>
                <w:rFonts w:ascii="Times New Roman" w:eastAsia="宋体" w:hAnsi="宋体" w:cs="Times New Roman" w:hint="eastAsia"/>
                <w:sz w:val="24"/>
                <w:szCs w:val="24"/>
              </w:rPr>
              <w:t>双方</w:t>
            </w:r>
            <w:r w:rsidR="00A12FCB"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共同控制</w:t>
            </w:r>
            <w:r w:rsidR="005B3175" w:rsidRP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重庆普昭</w:t>
            </w:r>
            <w:r w:rsidR="005B3175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="00A12FCB" w:rsidRPr="009A4858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5B3175" w:rsidRPr="009A4858" w14:paraId="47ECB1A0" w14:textId="77777777" w:rsidTr="00C600DD">
        <w:trPr>
          <w:trHeight w:val="468"/>
        </w:trPr>
        <w:tc>
          <w:tcPr>
            <w:tcW w:w="1673" w:type="dxa"/>
            <w:vMerge w:val="restart"/>
            <w:shd w:val="clear" w:color="auto" w:fill="D9D9D9"/>
            <w:vAlign w:val="center"/>
          </w:tcPr>
          <w:p w14:paraId="7D587B60" w14:textId="77777777" w:rsidR="005B3175" w:rsidRPr="009A4858" w:rsidRDefault="005B3175" w:rsidP="005B3175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937" w:type="dxa"/>
            <w:vAlign w:val="center"/>
          </w:tcPr>
          <w:p w14:paraId="46820231" w14:textId="75794B10" w:rsidR="005B3175" w:rsidRPr="009A4858" w:rsidRDefault="005B3175" w:rsidP="005B317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新建元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4867" w:type="dxa"/>
          </w:tcPr>
          <w:p w14:paraId="049AF66F" w14:textId="385F7AC0" w:rsidR="005B3175" w:rsidRPr="009A4858" w:rsidRDefault="005B3175" w:rsidP="005B317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新建元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是一家依据中国法律在苏州工业园区注册成立的</w:t>
            </w:r>
            <w:r>
              <w:rPr>
                <w:rFonts w:ascii="Times New Roman" w:eastAsia="宋体" w:hAnsi="宋体" w:cs="Times New Roman" w:hint="eastAsia"/>
                <w:sz w:val="24"/>
                <w:szCs w:val="24"/>
              </w:rPr>
              <w:t>有限责任</w:t>
            </w:r>
            <w:r w:rsidRPr="00FA4325">
              <w:rPr>
                <w:rFonts w:ascii="Times New Roman" w:eastAsia="宋体" w:hAnsi="宋体" w:cs="Times New Roman"/>
                <w:sz w:val="24"/>
                <w:szCs w:val="24"/>
              </w:rPr>
              <w:t>公司，主营业务</w:t>
            </w:r>
            <w:r w:rsidRPr="00311F24">
              <w:rPr>
                <w:rFonts w:ascii="Times New Roman" w:eastAsia="宋体" w:hAnsi="宋体" w:cs="Times New Roman"/>
                <w:sz w:val="24"/>
                <w:szCs w:val="24"/>
              </w:rPr>
              <w:t>包括</w:t>
            </w:r>
            <w:r w:rsidRPr="00311F24">
              <w:rPr>
                <w:rFonts w:ascii="Times New Roman" w:eastAsia="宋体" w:hAnsi="宋体" w:cs="Times New Roman" w:hint="eastAsia"/>
                <w:sz w:val="24"/>
                <w:szCs w:val="24"/>
              </w:rPr>
              <w:t>地产开发、资本经营、资产管理和实业投资。</w:t>
            </w:r>
          </w:p>
        </w:tc>
      </w:tr>
      <w:tr w:rsidR="005B3175" w:rsidRPr="009A4858" w14:paraId="6CD22E5C" w14:textId="77777777" w:rsidTr="00C600DD">
        <w:trPr>
          <w:trHeight w:val="1742"/>
        </w:trPr>
        <w:tc>
          <w:tcPr>
            <w:tcW w:w="1673" w:type="dxa"/>
            <w:vMerge/>
            <w:shd w:val="clear" w:color="auto" w:fill="D9D9D9"/>
          </w:tcPr>
          <w:p w14:paraId="5E6734E5" w14:textId="77777777" w:rsidR="005B3175" w:rsidRPr="009A4858" w:rsidRDefault="005B3175" w:rsidP="005B3175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14:paraId="38651301" w14:textId="02854121" w:rsidR="005B3175" w:rsidRPr="009A4858" w:rsidRDefault="005B3175" w:rsidP="005B317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普洛斯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4867" w:type="dxa"/>
          </w:tcPr>
          <w:p w14:paraId="1896D0BA" w14:textId="6A99D5C8" w:rsidR="005B3175" w:rsidRPr="009A4858" w:rsidRDefault="005B3175" w:rsidP="005B3175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0" w:name="_Toc356809686"/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普洛斯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是一家依据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香港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法律成立的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有限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责任公司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，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在中国的主营业务为通用仓储设施的开发及租赁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同时，普洛斯公司还经营通用厂房和办公楼的开发及租赁业务</w:t>
            </w:r>
            <w:r w:rsidRPr="009A4858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  <w:bookmarkEnd w:id="0"/>
          </w:p>
        </w:tc>
      </w:tr>
      <w:tr w:rsidR="00A12FCB" w:rsidRPr="009A4858" w14:paraId="06937954" w14:textId="77777777" w:rsidTr="00C600DD">
        <w:trPr>
          <w:trHeight w:val="279"/>
        </w:trPr>
        <w:tc>
          <w:tcPr>
            <w:tcW w:w="1673" w:type="dxa"/>
            <w:vMerge w:val="restart"/>
            <w:shd w:val="clear" w:color="auto" w:fill="D9D9D9"/>
            <w:vAlign w:val="center"/>
          </w:tcPr>
          <w:p w14:paraId="56496181" w14:textId="77777777" w:rsidR="00A12FCB" w:rsidRPr="009A4858" w:rsidRDefault="00A12FCB" w:rsidP="00C600DD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804" w:type="dxa"/>
            <w:gridSpan w:val="2"/>
          </w:tcPr>
          <w:p w14:paraId="582E62DC" w14:textId="21159F41" w:rsidR="00A12FCB" w:rsidRPr="009A4858" w:rsidRDefault="005B3175" w:rsidP="00C600DD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="00A12FCB"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="00A12FCB"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="00A12FCB" w:rsidRPr="009A4858">
              <w:rPr>
                <w:rFonts w:ascii="Times New Roman" w:eastAsia="宋体" w:hAnsi="宋体" w:cs="Times New Roman"/>
                <w:sz w:val="24"/>
                <w:szCs w:val="24"/>
              </w:rPr>
              <w:t>在同一相关市场，所有参与集中的经营者所占市场份额之和小于</w:t>
            </w:r>
            <w:r w:rsidR="00A12FCB"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15%</w:t>
            </w:r>
            <w:r w:rsidR="00A12FCB" w:rsidRPr="009A4858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A12FCB" w:rsidRPr="009A4858" w14:paraId="6DEC631B" w14:textId="77777777" w:rsidTr="00C600DD">
        <w:trPr>
          <w:trHeight w:val="330"/>
        </w:trPr>
        <w:tc>
          <w:tcPr>
            <w:tcW w:w="1673" w:type="dxa"/>
            <w:vMerge/>
            <w:shd w:val="clear" w:color="auto" w:fill="D9D9D9"/>
          </w:tcPr>
          <w:p w14:paraId="62A2321A" w14:textId="77777777" w:rsidR="00A12FCB" w:rsidRPr="009A4858" w:rsidRDefault="00A12FCB" w:rsidP="00C600DD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0368FE31" w14:textId="77777777" w:rsidR="00A12FCB" w:rsidRPr="009A4858" w:rsidRDefault="00A12FCB" w:rsidP="00C600DD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A12FCB" w:rsidRPr="009A4858" w14:paraId="7DC1DA3E" w14:textId="77777777" w:rsidTr="00C600DD">
        <w:trPr>
          <w:trHeight w:val="285"/>
        </w:trPr>
        <w:tc>
          <w:tcPr>
            <w:tcW w:w="1673" w:type="dxa"/>
            <w:vMerge/>
            <w:shd w:val="clear" w:color="auto" w:fill="D9D9D9"/>
          </w:tcPr>
          <w:p w14:paraId="20A303B0" w14:textId="77777777" w:rsidR="00A12FCB" w:rsidRPr="009A4858" w:rsidRDefault="00A12FCB" w:rsidP="00C600DD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28D13A99" w14:textId="4D29A9C2" w:rsidR="00A12FCB" w:rsidRPr="009A4858" w:rsidRDefault="005B3175" w:rsidP="00C600DD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sym w:font="Wingdings" w:char="F0FE"/>
            </w:r>
            <w:r w:rsidR="00A12FCB"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="00A12FCB" w:rsidRPr="009A4858">
              <w:rPr>
                <w:rFonts w:ascii="Times New Roman" w:eastAsia="宋体" w:hAnsi="宋体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A12FCB"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="00A12FCB" w:rsidRPr="009A4858">
              <w:rPr>
                <w:rFonts w:ascii="Times New Roman" w:eastAsia="宋体" w:hAnsi="宋体" w:cs="Times New Roman"/>
                <w:sz w:val="24"/>
                <w:szCs w:val="24"/>
              </w:rPr>
              <w:t>。</w:t>
            </w:r>
          </w:p>
        </w:tc>
      </w:tr>
      <w:tr w:rsidR="00A12FCB" w:rsidRPr="009A4858" w14:paraId="25212CD0" w14:textId="77777777" w:rsidTr="00C600DD">
        <w:trPr>
          <w:trHeight w:val="870"/>
        </w:trPr>
        <w:tc>
          <w:tcPr>
            <w:tcW w:w="1673" w:type="dxa"/>
            <w:vMerge/>
            <w:shd w:val="clear" w:color="auto" w:fill="D9D9D9"/>
          </w:tcPr>
          <w:p w14:paraId="10DE747D" w14:textId="77777777" w:rsidR="00A12FCB" w:rsidRPr="009A4858" w:rsidRDefault="00A12FCB" w:rsidP="00C600DD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41278B8B" w14:textId="77777777" w:rsidR="00A12FCB" w:rsidRPr="009A4858" w:rsidRDefault="00A12FCB" w:rsidP="00C600DD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A12FCB" w:rsidRPr="009A4858" w14:paraId="4A0A1CDC" w14:textId="77777777" w:rsidTr="00C600DD">
        <w:trPr>
          <w:trHeight w:val="264"/>
        </w:trPr>
        <w:tc>
          <w:tcPr>
            <w:tcW w:w="1673" w:type="dxa"/>
            <w:vMerge/>
            <w:shd w:val="clear" w:color="auto" w:fill="D9D9D9"/>
          </w:tcPr>
          <w:p w14:paraId="04C0EED3" w14:textId="77777777" w:rsidR="00A12FCB" w:rsidRPr="009A4858" w:rsidRDefault="00A12FCB" w:rsidP="00C600DD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7896BE29" w14:textId="77777777" w:rsidR="00A12FCB" w:rsidRPr="009A4858" w:rsidRDefault="00A12FCB" w:rsidP="00C600DD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A12FCB" w:rsidRPr="009A4858" w14:paraId="67497E74" w14:textId="77777777" w:rsidTr="00C600DD">
        <w:trPr>
          <w:trHeight w:val="345"/>
        </w:trPr>
        <w:tc>
          <w:tcPr>
            <w:tcW w:w="1673" w:type="dxa"/>
            <w:vMerge/>
            <w:shd w:val="clear" w:color="auto" w:fill="D9D9D9"/>
          </w:tcPr>
          <w:p w14:paraId="01020868" w14:textId="77777777" w:rsidR="00A12FCB" w:rsidRPr="009A4858" w:rsidRDefault="00A12FCB" w:rsidP="00C600DD">
            <w:pPr>
              <w:spacing w:line="5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46092126" w14:textId="77777777" w:rsidR="00A12FCB" w:rsidRPr="009A4858" w:rsidRDefault="00A12FCB" w:rsidP="00C600DD">
            <w:pPr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36"/>
                <w:szCs w:val="36"/>
              </w:rPr>
              <w:t>□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  <w:r w:rsidRPr="009A4858">
              <w:rPr>
                <w:rFonts w:ascii="Times New Roman" w:eastAsia="宋体" w:hAnsi="宋体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A12FCB" w:rsidRPr="009A4858" w14:paraId="5CD85809" w14:textId="77777777" w:rsidTr="00C600DD">
        <w:tc>
          <w:tcPr>
            <w:tcW w:w="1673" w:type="dxa"/>
            <w:shd w:val="clear" w:color="auto" w:fill="D9D9D9"/>
            <w:vAlign w:val="center"/>
          </w:tcPr>
          <w:p w14:paraId="098510AB" w14:textId="77777777" w:rsidR="00A12FCB" w:rsidRPr="009A4858" w:rsidRDefault="00A12FCB" w:rsidP="00C600DD">
            <w:pPr>
              <w:widowControl/>
              <w:snapToGrid w:val="0"/>
              <w:spacing w:beforeLines="50" w:before="156" w:afterLines="50" w:after="156" w:line="40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6804" w:type="dxa"/>
            <w:gridSpan w:val="2"/>
          </w:tcPr>
          <w:p w14:paraId="50DD3282" w14:textId="77777777" w:rsidR="00A12FCB" w:rsidRPr="009A4858" w:rsidRDefault="00A12FCB" w:rsidP="00C600DD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本次交易涉及以下相关市场：</w:t>
            </w:r>
          </w:p>
          <w:p w14:paraId="50E77C84" w14:textId="25D5DAB1" w:rsidR="00A12FCB" w:rsidRPr="009A4858" w:rsidRDefault="00A12FCB" w:rsidP="00C600DD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产品市场：</w:t>
            </w:r>
            <w:r w:rsidR="005B3175" w:rsidRPr="005B317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通用厂房的开发及租赁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14:paraId="5BA0C53E" w14:textId="7710206B" w:rsidR="00A12FCB" w:rsidRPr="009A4858" w:rsidRDefault="00A12FCB" w:rsidP="00C600DD">
            <w:pPr>
              <w:widowControl/>
              <w:snapToGrid w:val="0"/>
              <w:spacing w:beforeLines="50" w:before="156" w:afterLines="50" w:after="156" w:line="40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地域市场：</w:t>
            </w:r>
            <w:r w:rsidR="005B317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重庆市</w:t>
            </w: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14:paraId="41BBCDF0" w14:textId="3E381906" w:rsidR="00A12FCB" w:rsidRPr="009A4858" w:rsidRDefault="00A12FCB" w:rsidP="00C600DD">
            <w:pPr>
              <w:spacing w:beforeLines="50" w:before="156" w:afterLines="50" w:after="156"/>
              <w:rPr>
                <w:rFonts w:ascii="Times New Roman" w:eastAsia="宋体" w:hAnsi="Times New Roman" w:cs="Times New Roman"/>
                <w:sz w:val="24"/>
                <w:szCs w:val="24"/>
                <w:u w:val="single"/>
              </w:rPr>
            </w:pPr>
            <w:r w:rsidRPr="009A4858">
              <w:rPr>
                <w:rFonts w:ascii="Times New Roman" w:eastAsia="宋体" w:hAnsi="Times New Roman" w:cs="Times New Roman"/>
                <w:sz w:val="24"/>
                <w:szCs w:val="24"/>
              </w:rPr>
              <w:t>市场份额：</w:t>
            </w:r>
            <w:r w:rsidR="005B3175" w:rsidRPr="005B317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普洛斯公司及其关联实体在</w:t>
            </w:r>
            <w:r w:rsidR="005B317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重庆市</w:t>
            </w:r>
            <w:r w:rsidR="005B3175" w:rsidRPr="005B317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未从事相关业务；新建元公司及其关联实体在</w:t>
            </w:r>
            <w:r w:rsidR="005B317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重庆市</w:t>
            </w:r>
            <w:r w:rsidR="005B3175" w:rsidRPr="005B3175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未从事相关业务。</w:t>
            </w:r>
            <w:r w:rsidR="00934769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在本次交易</w:t>
            </w:r>
            <w:r w:rsidR="001A50FC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完成</w:t>
            </w:r>
            <w:r w:rsidR="00934769">
              <w:rPr>
                <w:rFonts w:ascii="Times New Roman" w:eastAsia="宋体" w:hAnsi="宋体" w:cs="Times New Roman" w:hint="eastAsia"/>
                <w:bCs/>
                <w:sz w:val="24"/>
                <w:szCs w:val="24"/>
              </w:rPr>
              <w:t>后，普洛斯公司和新建元公司共同控制的</w:t>
            </w:r>
            <w:r w:rsidR="00934769" w:rsidRPr="007619ED">
              <w:rPr>
                <w:rFonts w:ascii="Times New Roman" w:eastAsia="宋体" w:hAnsi="宋体" w:cs="Times New Roman" w:hint="eastAsia"/>
                <w:sz w:val="24"/>
                <w:szCs w:val="24"/>
              </w:rPr>
              <w:t>重庆普昭</w:t>
            </w:r>
            <w:r w:rsidR="00934769">
              <w:rPr>
                <w:rFonts w:ascii="Times New Roman" w:eastAsia="宋体" w:hAnsi="宋体" w:cs="Times New Roman" w:hint="eastAsia"/>
                <w:sz w:val="24"/>
                <w:szCs w:val="24"/>
              </w:rPr>
              <w:t>公司</w:t>
            </w:r>
            <w:r w:rsidR="006A111C">
              <w:rPr>
                <w:rFonts w:ascii="Times New Roman" w:eastAsia="宋体" w:hAnsi="宋体" w:cs="Times New Roman" w:hint="eastAsia"/>
                <w:sz w:val="24"/>
                <w:szCs w:val="24"/>
              </w:rPr>
              <w:t>在重庆市通用厂房的开发及租赁的市场份额为</w:t>
            </w:r>
            <w:r w:rsidR="006A111C">
              <w:rPr>
                <w:rFonts w:ascii="Times New Roman" w:eastAsia="宋体" w:hAnsi="宋体" w:cs="Times New Roman" w:hint="eastAsia"/>
                <w:sz w:val="24"/>
                <w:szCs w:val="24"/>
              </w:rPr>
              <w:t>0</w:t>
            </w:r>
            <w:r w:rsidR="006A111C">
              <w:rPr>
                <w:rFonts w:ascii="Times New Roman" w:eastAsia="宋体" w:hAnsi="宋体" w:cs="Times New Roman"/>
                <w:sz w:val="24"/>
                <w:szCs w:val="24"/>
              </w:rPr>
              <w:t>%-5%</w:t>
            </w:r>
            <w:r w:rsidR="006A111C">
              <w:rPr>
                <w:rFonts w:ascii="Times New Roman" w:eastAsia="宋体" w:hAnsi="宋体" w:cs="Times New Roman" w:hint="eastAsia"/>
                <w:sz w:val="24"/>
                <w:szCs w:val="24"/>
              </w:rPr>
              <w:t>。</w:t>
            </w:r>
          </w:p>
        </w:tc>
      </w:tr>
    </w:tbl>
    <w:p w14:paraId="72B64807" w14:textId="77777777" w:rsidR="00A12FCB" w:rsidRPr="005B3175" w:rsidRDefault="00A12FCB" w:rsidP="00A12FCB">
      <w:pPr>
        <w:widowControl/>
        <w:shd w:val="clear" w:color="auto" w:fill="FFFFFF"/>
        <w:spacing w:line="375" w:lineRule="atLeast"/>
        <w:jc w:val="left"/>
        <w:rPr>
          <w:rFonts w:ascii="仿宋_GB2312" w:eastAsia="仿宋_GB2312" w:hAnsi="Times New Roman" w:cs="Times New Roman"/>
          <w:sz w:val="28"/>
          <w:szCs w:val="28"/>
        </w:rPr>
      </w:pPr>
    </w:p>
    <w:p w14:paraId="55F630EC" w14:textId="77777777" w:rsidR="00A12FCB" w:rsidRPr="009A4858" w:rsidRDefault="00A12FCB" w:rsidP="00A12FCB">
      <w:pPr>
        <w:snapToGrid w:val="0"/>
        <w:spacing w:line="240" w:lineRule="exact"/>
        <w:rPr>
          <w:rFonts w:ascii="宋体" w:eastAsia="宋体" w:hAnsi="宋体" w:cs="Times New Roman"/>
          <w:sz w:val="24"/>
          <w:szCs w:val="24"/>
        </w:rPr>
      </w:pPr>
      <w:r w:rsidRPr="009A4858">
        <w:rPr>
          <w:rFonts w:ascii="宋体" w:eastAsia="宋体" w:hAnsi="宋体" w:cs="Times New Roman" w:hint="eastAsia"/>
          <w:sz w:val="24"/>
          <w:szCs w:val="24"/>
        </w:rPr>
        <w:t>注解：</w:t>
      </w:r>
    </w:p>
    <w:p w14:paraId="60BFBBA7" w14:textId="77777777" w:rsidR="00A12FCB" w:rsidRPr="009A4858" w:rsidRDefault="00A12FCB" w:rsidP="00A12FCB">
      <w:pPr>
        <w:snapToGrid w:val="0"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9A4858">
        <w:rPr>
          <w:rFonts w:ascii="宋体" w:eastAsia="宋体" w:hAnsi="宋体" w:cs="Times New Roman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368EE16A" w14:textId="77777777" w:rsidR="000B2CE3" w:rsidRPr="00A12FCB" w:rsidRDefault="00A12FCB" w:rsidP="00A12FCB">
      <w:pPr>
        <w:snapToGrid w:val="0"/>
        <w:spacing w:line="360" w:lineRule="auto"/>
        <w:ind w:firstLineChars="200" w:firstLine="480"/>
        <w:rPr>
          <w:rFonts w:ascii="Times New Roman" w:hAnsi="Times New Roman"/>
          <w:b/>
          <w:bCs/>
          <w:sz w:val="24"/>
          <w:szCs w:val="24"/>
        </w:rPr>
      </w:pPr>
      <w:r w:rsidRPr="004C3EF0">
        <w:rPr>
          <w:rFonts w:ascii="宋体" w:eastAsia="宋体" w:hAnsi="宋体" w:cs="Times New Roman"/>
          <w:sz w:val="24"/>
          <w:szCs w:val="24"/>
        </w:rPr>
        <w:t>2、申报方申请简易案件的理由是基于第4项、第5项时，无须在备注中说明相关市场和市场份额。</w:t>
      </w:r>
      <w:r w:rsidRPr="004C3EF0">
        <w:rPr>
          <w:rFonts w:ascii="宋体" w:eastAsia="宋体" w:hAnsi="宋体" w:cs="Times New Roman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0B2CE3" w:rsidRPr="00A12F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96E9AD" w14:textId="77777777" w:rsidR="00A6226C" w:rsidRDefault="00A6226C" w:rsidP="00934769">
      <w:r>
        <w:separator/>
      </w:r>
    </w:p>
  </w:endnote>
  <w:endnote w:type="continuationSeparator" w:id="0">
    <w:p w14:paraId="77B3782E" w14:textId="77777777" w:rsidR="00A6226C" w:rsidRDefault="00A6226C" w:rsidP="00934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8F981" w14:textId="77777777" w:rsidR="00A6226C" w:rsidRDefault="00A6226C" w:rsidP="00934769">
      <w:r>
        <w:separator/>
      </w:r>
    </w:p>
  </w:footnote>
  <w:footnote w:type="continuationSeparator" w:id="0">
    <w:p w14:paraId="1A20DAB2" w14:textId="77777777" w:rsidR="00A6226C" w:rsidRDefault="00A6226C" w:rsidP="00934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CB"/>
    <w:rsid w:val="000B2CE3"/>
    <w:rsid w:val="001A50FC"/>
    <w:rsid w:val="0041196F"/>
    <w:rsid w:val="004C395D"/>
    <w:rsid w:val="005B3175"/>
    <w:rsid w:val="006A111C"/>
    <w:rsid w:val="007619ED"/>
    <w:rsid w:val="00865E2F"/>
    <w:rsid w:val="00934769"/>
    <w:rsid w:val="00A12FCB"/>
    <w:rsid w:val="00A6226C"/>
    <w:rsid w:val="00D350E5"/>
    <w:rsid w:val="00D86D65"/>
    <w:rsid w:val="00E8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E34FCF"/>
  <w15:chartTrackingRefBased/>
  <w15:docId w15:val="{772993F9-5582-424B-88A6-7D2CB1AF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楷体" w:hAnsi="Times New Roman" w:cs="Times New Roman"/>
        <w:sz w:val="22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FC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网格型1"/>
    <w:basedOn w:val="a1"/>
    <w:next w:val="a3"/>
    <w:uiPriority w:val="59"/>
    <w:rsid w:val="00A12FCB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12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47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76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7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76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</dc:creator>
  <cp:keywords/>
  <dc:description/>
  <cp:lastModifiedBy>AB</cp:lastModifiedBy>
  <cp:revision>11</cp:revision>
  <dcterms:created xsi:type="dcterms:W3CDTF">2019-10-28T08:57:00Z</dcterms:created>
  <dcterms:modified xsi:type="dcterms:W3CDTF">2020-07-07T10:44:00Z</dcterms:modified>
</cp:coreProperties>
</file>