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jc w:val="center"/>
        <w:rPr>
          <w:rFonts w:ascii="宋体" w:hAnsi="宋体"/>
          <w:b/>
          <w:bCs/>
          <w:color w:val="000000" w:themeColor="text1"/>
          <w:sz w:val="28"/>
          <w:szCs w:val="28"/>
        </w:rPr>
      </w:pPr>
      <w:r>
        <w:rPr>
          <w:rFonts w:hint="eastAsia" w:ascii="宋体" w:hAnsi="宋体"/>
          <w:b/>
          <w:bCs/>
          <w:color w:val="000000" w:themeColor="text1"/>
          <w:sz w:val="28"/>
          <w:szCs w:val="28"/>
        </w:rPr>
        <w:t>经营者集中简易案件公示表</w:t>
      </w:r>
    </w:p>
    <w:p>
      <w:pPr>
        <w:pStyle w:val="9"/>
        <w:rPr>
          <w:color w:val="000000" w:themeColor="text1"/>
        </w:rPr>
      </w:pPr>
    </w:p>
    <w:tbl>
      <w:tblPr>
        <w:tblStyle w:val="7"/>
        <w:tblW w:w="8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3"/>
        <w:gridCol w:w="1547"/>
        <w:gridCol w:w="137"/>
        <w:gridCol w:w="1276"/>
        <w:gridCol w:w="1417"/>
        <w:gridCol w:w="23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95" w:hRule="atLeast"/>
        </w:trPr>
        <w:tc>
          <w:tcPr>
            <w:tcW w:w="1543" w:type="dxa"/>
            <w:shd w:val="clear" w:color="auto" w:fill="D9D9D9"/>
          </w:tcPr>
          <w:p>
            <w:pPr>
              <w:pStyle w:val="9"/>
              <w:spacing w:line="480" w:lineRule="exact"/>
              <w:rPr>
                <w:color w:val="000000" w:themeColor="text1"/>
              </w:rPr>
            </w:pPr>
            <w:r>
              <w:rPr>
                <w:rFonts w:hint="eastAsia"/>
                <w:color w:val="000000" w:themeColor="text1"/>
              </w:rPr>
              <w:t>案件名称</w:t>
            </w:r>
          </w:p>
        </w:tc>
        <w:tc>
          <w:tcPr>
            <w:tcW w:w="6755" w:type="dxa"/>
            <w:gridSpan w:val="5"/>
          </w:tcPr>
          <w:p>
            <w:pPr>
              <w:pStyle w:val="9"/>
              <w:spacing w:line="440" w:lineRule="exact"/>
              <w:rPr>
                <w:color w:val="000000" w:themeColor="text1"/>
              </w:rPr>
            </w:pPr>
            <w:r>
              <w:rPr>
                <w:rFonts w:hint="eastAsia"/>
                <w:color w:val="000000" w:themeColor="text1"/>
              </w:rPr>
              <w:t>江苏阳恒化工有限公司吸收合并江苏震宇化工有限公司案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66" w:hRule="atLeast"/>
        </w:trPr>
        <w:tc>
          <w:tcPr>
            <w:tcW w:w="1543" w:type="dxa"/>
            <w:shd w:val="clear" w:color="auto" w:fill="D9D9D9"/>
          </w:tcPr>
          <w:p>
            <w:pPr>
              <w:pStyle w:val="9"/>
              <w:spacing w:line="480" w:lineRule="exact"/>
              <w:rPr>
                <w:color w:val="000000" w:themeColor="text1"/>
              </w:rPr>
            </w:pPr>
            <w:r>
              <w:rPr>
                <w:rFonts w:hint="eastAsia"/>
                <w:color w:val="000000" w:themeColor="text1"/>
              </w:rPr>
              <w:t>交易概况（限200字内）</w:t>
            </w:r>
          </w:p>
        </w:tc>
        <w:tc>
          <w:tcPr>
            <w:tcW w:w="6755" w:type="dxa"/>
            <w:gridSpan w:val="5"/>
          </w:tcPr>
          <w:p>
            <w:pPr>
              <w:spacing w:line="360" w:lineRule="auto"/>
              <w:jc w:val="both"/>
              <w:rPr>
                <w:sz w:val="21"/>
                <w:szCs w:val="22"/>
              </w:rPr>
            </w:pPr>
            <w:r>
              <w:rPr>
                <w:rFonts w:hint="eastAsia"/>
                <w:color w:val="000000" w:themeColor="text1"/>
              </w:rPr>
              <w:t>本次集中交易前，江苏阳恒化工有限公司（“江苏阳恒”）为苏州晶瑞化学股份有限公司（“晶瑞股份”）的全资子公司；江苏震宇化工有限公司（“江苏震宇”）为江苏阳恒的控股子公司，由江苏阳恒、日本丸红株式会社（“日本丸红”）分别持有55.56%、44.44%的股权。本次集中交易后，江苏震宇的少数股东日本丸红成为存续公司江苏阳恒的少数股东，江苏震宇因吸收合并注销，江苏阳恒因吸收合并变更为晶瑞股份及日本丸红共同投资的外商投资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6" w:hRule="atLeast"/>
        </w:trPr>
        <w:tc>
          <w:tcPr>
            <w:tcW w:w="1543" w:type="dxa"/>
            <w:vMerge w:val="restart"/>
            <w:shd w:val="clear" w:color="auto" w:fill="D9D9D9"/>
          </w:tcPr>
          <w:p>
            <w:pPr>
              <w:pStyle w:val="9"/>
              <w:spacing w:line="480" w:lineRule="exact"/>
              <w:rPr>
                <w:color w:val="000000" w:themeColor="text1"/>
              </w:rPr>
            </w:pPr>
            <w:r>
              <w:rPr>
                <w:rFonts w:hint="eastAsia"/>
                <w:color w:val="000000" w:themeColor="text1"/>
              </w:rPr>
              <w:t>参与集中的经营者简介</w:t>
            </w:r>
          </w:p>
        </w:tc>
        <w:tc>
          <w:tcPr>
            <w:tcW w:w="1547" w:type="dxa"/>
          </w:tcPr>
          <w:p>
            <w:pPr>
              <w:pStyle w:val="9"/>
              <w:spacing w:line="440" w:lineRule="exact"/>
              <w:rPr>
                <w:color w:val="auto"/>
              </w:rPr>
            </w:pPr>
            <w:r>
              <w:rPr>
                <w:rFonts w:hint="eastAsia"/>
                <w:color w:val="auto"/>
              </w:rPr>
              <w:t>1、晶瑞股份</w:t>
            </w:r>
          </w:p>
        </w:tc>
        <w:tc>
          <w:tcPr>
            <w:tcW w:w="5208" w:type="dxa"/>
            <w:gridSpan w:val="4"/>
          </w:tcPr>
          <w:p>
            <w:pPr>
              <w:pStyle w:val="9"/>
              <w:spacing w:line="440" w:lineRule="exact"/>
              <w:jc w:val="both"/>
              <w:rPr>
                <w:color w:val="auto"/>
              </w:rPr>
            </w:pPr>
            <w:r>
              <w:rPr>
                <w:rFonts w:hint="eastAsia"/>
                <w:color w:val="auto"/>
              </w:rPr>
              <w:t>晶瑞股份成立于2001年11月29日，于2017年05月23日于深圳证券交易所上市，股票代码为</w:t>
            </w:r>
            <w:r>
              <w:rPr>
                <w:color w:val="auto"/>
              </w:rPr>
              <w:t>300655</w:t>
            </w:r>
            <w:r>
              <w:rPr>
                <w:rFonts w:hint="eastAsia"/>
                <w:color w:val="auto"/>
              </w:rPr>
              <w:t>。晶瑞股份主要从事生产、销售超净高纯试剂、光刻胶、功能性材料和锂电池粘合剂四大类微电子化学品。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543" w:type="dxa"/>
            <w:vMerge w:val="continue"/>
            <w:shd w:val="clear" w:color="auto" w:fill="D9D9D9"/>
          </w:tcPr>
          <w:p>
            <w:pPr>
              <w:pStyle w:val="9"/>
              <w:spacing w:line="480" w:lineRule="exact"/>
              <w:rPr>
                <w:color w:val="000000" w:themeColor="text1"/>
              </w:rPr>
            </w:pPr>
          </w:p>
        </w:tc>
        <w:tc>
          <w:tcPr>
            <w:tcW w:w="1547" w:type="dxa"/>
          </w:tcPr>
          <w:p>
            <w:pPr>
              <w:pStyle w:val="9"/>
              <w:spacing w:line="440" w:lineRule="exact"/>
              <w:rPr>
                <w:color w:val="auto"/>
              </w:rPr>
            </w:pPr>
            <w:r>
              <w:rPr>
                <w:rFonts w:hint="eastAsia"/>
                <w:color w:val="auto"/>
              </w:rPr>
              <w:t>2、日本丸红</w:t>
            </w:r>
          </w:p>
        </w:tc>
        <w:tc>
          <w:tcPr>
            <w:tcW w:w="5208" w:type="dxa"/>
            <w:gridSpan w:val="4"/>
          </w:tcPr>
          <w:p>
            <w:pPr>
              <w:pStyle w:val="9"/>
              <w:spacing w:line="440" w:lineRule="exact"/>
              <w:jc w:val="both"/>
              <w:rPr>
                <w:color w:val="auto"/>
              </w:rPr>
            </w:pPr>
            <w:r>
              <w:rPr>
                <w:rFonts w:hint="eastAsia"/>
                <w:color w:val="auto"/>
              </w:rPr>
              <w:t>日本丸红</w:t>
            </w:r>
            <w:r>
              <w:rPr>
                <w:rFonts w:hint="eastAsia" w:ascii="Times New Roman" w:hAnsi="Times New Roman"/>
                <w:color w:val="auto"/>
              </w:rPr>
              <w:t>设立于1949年12月1日，于1950年在东京证券交易所上市，股票代码为</w:t>
            </w:r>
            <w:r>
              <w:rPr>
                <w:rFonts w:ascii="Times New Roman" w:hAnsi="Times New Roman"/>
                <w:color w:val="auto"/>
              </w:rPr>
              <w:t>8002</w:t>
            </w:r>
            <w:r>
              <w:rPr>
                <w:rFonts w:hint="eastAsia" w:ascii="Times New Roman" w:hAnsi="Times New Roman"/>
                <w:color w:val="auto"/>
              </w:rPr>
              <w:t>。日本丸红在粮油、生活产业、原材料、能源与金属、电力与成套设备、运输机及其他广泛领域，从事进出口贸易（含境外贸易）及国内贸易，提供各种服务业务、在国内外进行事业投资、资源开发等。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3" w:hRule="atLeast"/>
        </w:trPr>
        <w:tc>
          <w:tcPr>
            <w:tcW w:w="1543" w:type="dxa"/>
            <w:vMerge w:val="restart"/>
            <w:shd w:val="clear" w:color="auto" w:fill="D9D9D9"/>
          </w:tcPr>
          <w:p>
            <w:pPr>
              <w:pStyle w:val="9"/>
              <w:spacing w:line="480" w:lineRule="exact"/>
              <w:rPr>
                <w:color w:val="000000" w:themeColor="text1"/>
              </w:rPr>
            </w:pPr>
            <w:r>
              <w:rPr>
                <w:rFonts w:hint="eastAsia"/>
                <w:color w:val="000000" w:themeColor="text1"/>
              </w:rPr>
              <w:t>简易案件理由（可以单选，也可以多选）</w:t>
            </w:r>
          </w:p>
        </w:tc>
        <w:tc>
          <w:tcPr>
            <w:tcW w:w="6755" w:type="dxa"/>
            <w:gridSpan w:val="5"/>
          </w:tcPr>
          <w:p>
            <w:pPr>
              <w:pStyle w:val="9"/>
              <w:spacing w:line="440" w:lineRule="exact"/>
              <w:jc w:val="both"/>
              <w:rPr>
                <w:color w:val="000000" w:themeColor="text1"/>
              </w:rPr>
            </w:pPr>
            <w:r>
              <w:rPr>
                <w:rFonts w:hint="eastAsia"/>
                <w:color w:val="000000" w:themeColor="text1"/>
              </w:rPr>
              <w:t>□1、在同一相关市场，所有参与集中的经营者所占市场份额之和小于15%。</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5" w:hRule="atLeast"/>
        </w:trPr>
        <w:tc>
          <w:tcPr>
            <w:tcW w:w="1543" w:type="dxa"/>
            <w:vMerge w:val="continue"/>
            <w:shd w:val="clear" w:color="auto" w:fill="D9D9D9"/>
          </w:tcPr>
          <w:p>
            <w:pPr>
              <w:pStyle w:val="9"/>
              <w:spacing w:line="480" w:lineRule="exact"/>
              <w:rPr>
                <w:color w:val="000000" w:themeColor="text1"/>
              </w:rPr>
            </w:pPr>
          </w:p>
        </w:tc>
        <w:tc>
          <w:tcPr>
            <w:tcW w:w="6755" w:type="dxa"/>
            <w:gridSpan w:val="5"/>
          </w:tcPr>
          <w:p>
            <w:pPr>
              <w:pStyle w:val="9"/>
              <w:spacing w:line="440" w:lineRule="exact"/>
              <w:jc w:val="both"/>
              <w:rPr>
                <w:color w:val="000000" w:themeColor="text1"/>
              </w:rPr>
            </w:pPr>
            <w:r>
              <w:rPr>
                <w:color w:val="000000" w:themeColor="text1"/>
              </w:rPr>
              <w:sym w:font="Wingdings" w:char="F0FE"/>
            </w:r>
            <w:r>
              <w:rPr>
                <w:rFonts w:hint="eastAsia"/>
                <w:color w:val="000000" w:themeColor="text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trPr>
        <w:tc>
          <w:tcPr>
            <w:tcW w:w="1543" w:type="dxa"/>
            <w:vMerge w:val="continue"/>
            <w:shd w:val="clear" w:color="auto" w:fill="D9D9D9"/>
          </w:tcPr>
          <w:p>
            <w:pPr>
              <w:pStyle w:val="9"/>
              <w:spacing w:line="480" w:lineRule="exact"/>
              <w:rPr>
                <w:color w:val="000000" w:themeColor="text1"/>
              </w:rPr>
            </w:pPr>
          </w:p>
        </w:tc>
        <w:tc>
          <w:tcPr>
            <w:tcW w:w="6755" w:type="dxa"/>
            <w:gridSpan w:val="5"/>
          </w:tcPr>
          <w:p>
            <w:pPr>
              <w:pStyle w:val="9"/>
              <w:spacing w:line="440" w:lineRule="exact"/>
              <w:jc w:val="both"/>
              <w:rPr>
                <w:color w:val="000000" w:themeColor="text1"/>
              </w:rPr>
            </w:pPr>
            <w:r>
              <w:rPr>
                <w:rFonts w:hint="eastAsia"/>
                <w:color w:val="000000" w:themeColor="text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3" w:hRule="atLeast"/>
        </w:trPr>
        <w:tc>
          <w:tcPr>
            <w:tcW w:w="1543" w:type="dxa"/>
            <w:vMerge w:val="continue"/>
            <w:shd w:val="clear" w:color="auto" w:fill="D9D9D9"/>
          </w:tcPr>
          <w:p>
            <w:pPr>
              <w:pStyle w:val="9"/>
              <w:spacing w:line="480" w:lineRule="exact"/>
              <w:rPr>
                <w:color w:val="000000" w:themeColor="text1"/>
              </w:rPr>
            </w:pPr>
          </w:p>
        </w:tc>
        <w:tc>
          <w:tcPr>
            <w:tcW w:w="6755" w:type="dxa"/>
            <w:gridSpan w:val="5"/>
          </w:tcPr>
          <w:p>
            <w:pPr>
              <w:pStyle w:val="9"/>
              <w:spacing w:line="440" w:lineRule="exact"/>
              <w:jc w:val="both"/>
              <w:rPr>
                <w:color w:val="000000" w:themeColor="text1"/>
              </w:rPr>
            </w:pPr>
            <w:r>
              <w:rPr>
                <w:rFonts w:hint="eastAsia"/>
                <w:color w:val="000000" w:themeColor="text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8" w:hRule="atLeast"/>
        </w:trPr>
        <w:tc>
          <w:tcPr>
            <w:tcW w:w="1543" w:type="dxa"/>
            <w:vMerge w:val="continue"/>
            <w:shd w:val="clear" w:color="auto" w:fill="D9D9D9"/>
          </w:tcPr>
          <w:p>
            <w:pPr>
              <w:pStyle w:val="9"/>
              <w:spacing w:line="480" w:lineRule="exact"/>
              <w:rPr>
                <w:color w:val="000000" w:themeColor="text1"/>
              </w:rPr>
            </w:pPr>
          </w:p>
        </w:tc>
        <w:tc>
          <w:tcPr>
            <w:tcW w:w="6755" w:type="dxa"/>
            <w:gridSpan w:val="5"/>
          </w:tcPr>
          <w:p>
            <w:pPr>
              <w:pStyle w:val="9"/>
              <w:spacing w:line="440" w:lineRule="exact"/>
              <w:jc w:val="both"/>
              <w:rPr>
                <w:color w:val="000000" w:themeColor="text1"/>
              </w:rPr>
            </w:pPr>
            <w:r>
              <w:rPr>
                <w:rFonts w:hint="eastAsia"/>
                <w:color w:val="000000" w:themeColor="text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0" w:hRule="atLeast"/>
        </w:trPr>
        <w:tc>
          <w:tcPr>
            <w:tcW w:w="1543" w:type="dxa"/>
            <w:vMerge w:val="continue"/>
            <w:shd w:val="clear" w:color="auto" w:fill="D9D9D9"/>
          </w:tcPr>
          <w:p>
            <w:pPr>
              <w:pStyle w:val="9"/>
              <w:spacing w:line="480" w:lineRule="exact"/>
              <w:rPr>
                <w:color w:val="000000" w:themeColor="text1"/>
              </w:rPr>
            </w:pPr>
          </w:p>
        </w:tc>
        <w:tc>
          <w:tcPr>
            <w:tcW w:w="6755" w:type="dxa"/>
            <w:gridSpan w:val="5"/>
          </w:tcPr>
          <w:p>
            <w:pPr>
              <w:pStyle w:val="9"/>
              <w:spacing w:line="440" w:lineRule="exact"/>
              <w:jc w:val="both"/>
              <w:rPr>
                <w:color w:val="000000" w:themeColor="text1"/>
              </w:rPr>
            </w:pPr>
            <w:r>
              <w:rPr>
                <w:rFonts w:hint="eastAsia"/>
                <w:color w:val="000000" w:themeColor="text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7" w:hRule="atLeast"/>
        </w:trPr>
        <w:tc>
          <w:tcPr>
            <w:tcW w:w="1543" w:type="dxa"/>
            <w:vMerge w:val="restart"/>
            <w:shd w:val="clear" w:color="auto" w:fill="D9D9D9"/>
          </w:tcPr>
          <w:p>
            <w:pPr>
              <w:pStyle w:val="9"/>
              <w:spacing w:line="480" w:lineRule="exact"/>
              <w:rPr>
                <w:color w:val="000000" w:themeColor="text1"/>
              </w:rPr>
            </w:pPr>
            <w:r>
              <w:rPr>
                <w:rFonts w:hint="eastAsia"/>
                <w:color w:val="000000" w:themeColor="text1"/>
              </w:rPr>
              <w:t>备注</w:t>
            </w:r>
          </w:p>
        </w:tc>
        <w:tc>
          <w:tcPr>
            <w:tcW w:w="1684" w:type="dxa"/>
            <w:gridSpan w:val="2"/>
            <w:vAlign w:val="center"/>
          </w:tcPr>
          <w:p>
            <w:pPr>
              <w:pStyle w:val="9"/>
              <w:spacing w:line="360" w:lineRule="auto"/>
              <w:jc w:val="center"/>
              <w:rPr>
                <w:b/>
                <w:bCs/>
                <w:color w:val="auto"/>
              </w:rPr>
            </w:pPr>
            <w:r>
              <w:rPr>
                <w:rFonts w:hint="eastAsia"/>
                <w:b/>
                <w:bCs/>
                <w:color w:val="auto"/>
              </w:rPr>
              <w:t>相关商品市场</w:t>
            </w:r>
          </w:p>
        </w:tc>
        <w:tc>
          <w:tcPr>
            <w:tcW w:w="2693" w:type="dxa"/>
            <w:gridSpan w:val="2"/>
            <w:vAlign w:val="center"/>
          </w:tcPr>
          <w:p>
            <w:pPr>
              <w:pStyle w:val="9"/>
              <w:spacing w:line="360" w:lineRule="auto"/>
              <w:jc w:val="center"/>
              <w:rPr>
                <w:b/>
                <w:bCs/>
                <w:color w:val="auto"/>
              </w:rPr>
            </w:pPr>
            <w:r>
              <w:rPr>
                <w:rFonts w:hint="eastAsia"/>
                <w:b/>
                <w:bCs/>
                <w:color w:val="auto"/>
              </w:rPr>
              <w:t>相关地域市场</w:t>
            </w:r>
          </w:p>
        </w:tc>
        <w:tc>
          <w:tcPr>
            <w:tcW w:w="2378" w:type="dxa"/>
            <w:vAlign w:val="center"/>
          </w:tcPr>
          <w:p>
            <w:pPr>
              <w:pStyle w:val="9"/>
              <w:spacing w:line="360" w:lineRule="auto"/>
              <w:jc w:val="center"/>
              <w:rPr>
                <w:b/>
                <w:bCs/>
                <w:color w:val="auto"/>
              </w:rPr>
            </w:pPr>
            <w:r>
              <w:rPr>
                <w:rFonts w:hint="eastAsia"/>
                <w:b/>
                <w:bCs/>
                <w:color w:val="auto"/>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7" w:hRule="atLeast"/>
        </w:trPr>
        <w:tc>
          <w:tcPr>
            <w:tcW w:w="1543" w:type="dxa"/>
            <w:vMerge w:val="continue"/>
            <w:shd w:val="clear" w:color="auto" w:fill="D9D9D9"/>
          </w:tcPr>
          <w:p>
            <w:pPr>
              <w:pStyle w:val="9"/>
              <w:spacing w:line="480" w:lineRule="exact"/>
              <w:rPr>
                <w:color w:val="000000" w:themeColor="text1"/>
              </w:rPr>
            </w:pPr>
          </w:p>
        </w:tc>
        <w:tc>
          <w:tcPr>
            <w:tcW w:w="1684" w:type="dxa"/>
            <w:gridSpan w:val="2"/>
            <w:vAlign w:val="center"/>
          </w:tcPr>
          <w:p>
            <w:pPr>
              <w:pStyle w:val="9"/>
              <w:spacing w:line="360" w:lineRule="auto"/>
              <w:jc w:val="center"/>
              <w:rPr>
                <w:color w:val="auto"/>
              </w:rPr>
            </w:pPr>
            <w:r>
              <w:rPr>
                <w:rFonts w:hint="eastAsia"/>
                <w:color w:val="auto"/>
              </w:rPr>
              <w:t>硫磺</w:t>
            </w:r>
          </w:p>
        </w:tc>
        <w:tc>
          <w:tcPr>
            <w:tcW w:w="2693" w:type="dxa"/>
            <w:gridSpan w:val="2"/>
            <w:vAlign w:val="center"/>
          </w:tcPr>
          <w:p>
            <w:pPr>
              <w:pStyle w:val="9"/>
              <w:spacing w:line="360" w:lineRule="auto"/>
              <w:jc w:val="center"/>
              <w:rPr>
                <w:color w:val="auto"/>
              </w:rPr>
            </w:pPr>
            <w:r>
              <w:rPr>
                <w:rFonts w:hint="eastAsia"/>
                <w:color w:val="auto"/>
              </w:rPr>
              <w:t>全球市场</w:t>
            </w:r>
          </w:p>
        </w:tc>
        <w:tc>
          <w:tcPr>
            <w:tcW w:w="2378" w:type="dxa"/>
            <w:vAlign w:val="center"/>
          </w:tcPr>
          <w:p>
            <w:pPr>
              <w:pStyle w:val="9"/>
              <w:spacing w:line="360" w:lineRule="auto"/>
              <w:jc w:val="center"/>
              <w:rPr>
                <w:color w:val="auto"/>
              </w:rPr>
            </w:pPr>
            <w:r>
              <w:rPr>
                <w:rFonts w:hint="eastAsia"/>
                <w:color w:val="auto"/>
              </w:rPr>
              <w:t>日本丸红[0-5%]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restart"/>
            <w:vAlign w:val="center"/>
          </w:tcPr>
          <w:p>
            <w:pPr>
              <w:pStyle w:val="9"/>
              <w:spacing w:line="360" w:lineRule="auto"/>
              <w:jc w:val="center"/>
              <w:rPr>
                <w:color w:val="auto"/>
              </w:rPr>
            </w:pPr>
            <w:r>
              <w:rPr>
                <w:rFonts w:hint="eastAsia"/>
                <w:color w:val="auto"/>
              </w:rPr>
              <w:t>硫酸</w:t>
            </w:r>
          </w:p>
        </w:tc>
        <w:tc>
          <w:tcPr>
            <w:tcW w:w="2693" w:type="dxa"/>
            <w:gridSpan w:val="2"/>
            <w:vMerge w:val="restart"/>
            <w:vAlign w:val="center"/>
          </w:tcPr>
          <w:p>
            <w:pPr>
              <w:pStyle w:val="9"/>
              <w:spacing w:line="360" w:lineRule="auto"/>
              <w:jc w:val="center"/>
              <w:rPr>
                <w:color w:val="auto"/>
              </w:rPr>
            </w:pPr>
            <w:r>
              <w:rPr>
                <w:rFonts w:hint="eastAsia"/>
                <w:color w:val="auto"/>
              </w:rPr>
              <w:t>中国市场</w:t>
            </w:r>
          </w:p>
        </w:tc>
        <w:tc>
          <w:tcPr>
            <w:tcW w:w="2378" w:type="dxa"/>
            <w:vAlign w:val="center"/>
          </w:tcPr>
          <w:p>
            <w:pPr>
              <w:pStyle w:val="9"/>
              <w:spacing w:line="360" w:lineRule="auto"/>
              <w:jc w:val="center"/>
              <w:rPr>
                <w:color w:val="auto"/>
              </w:rPr>
            </w:pPr>
            <w:r>
              <w:rPr>
                <w:rFonts w:hint="eastAsia"/>
                <w:color w:val="auto"/>
              </w:rPr>
              <w:t>江苏阳恒[0-5%]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3"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color w:val="auto"/>
              </w:rPr>
            </w:pPr>
          </w:p>
        </w:tc>
        <w:tc>
          <w:tcPr>
            <w:tcW w:w="2693" w:type="dxa"/>
            <w:gridSpan w:val="2"/>
            <w:vMerge w:val="continue"/>
            <w:vAlign w:val="center"/>
          </w:tcPr>
          <w:p>
            <w:pPr>
              <w:pStyle w:val="9"/>
              <w:spacing w:line="360" w:lineRule="auto"/>
              <w:jc w:val="center"/>
              <w:rPr>
                <w:color w:val="auto"/>
              </w:rPr>
            </w:pPr>
          </w:p>
        </w:tc>
        <w:tc>
          <w:tcPr>
            <w:tcW w:w="2378" w:type="dxa"/>
            <w:vAlign w:val="center"/>
          </w:tcPr>
          <w:p>
            <w:pPr>
              <w:pStyle w:val="9"/>
              <w:spacing w:line="360" w:lineRule="auto"/>
              <w:jc w:val="center"/>
              <w:rPr>
                <w:color w:val="auto"/>
              </w:rPr>
            </w:pPr>
            <w:r>
              <w:rPr>
                <w:rFonts w:hint="eastAsia"/>
                <w:color w:val="auto"/>
              </w:rPr>
              <w:t>江苏震宇[0-5%]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3"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color w:val="auto"/>
              </w:rPr>
            </w:pPr>
          </w:p>
        </w:tc>
        <w:tc>
          <w:tcPr>
            <w:tcW w:w="2693" w:type="dxa"/>
            <w:gridSpan w:val="2"/>
            <w:vMerge w:val="continue"/>
            <w:vAlign w:val="center"/>
          </w:tcPr>
          <w:p>
            <w:pPr>
              <w:pStyle w:val="9"/>
              <w:spacing w:line="360" w:lineRule="auto"/>
              <w:jc w:val="center"/>
              <w:rPr>
                <w:color w:val="auto"/>
              </w:rPr>
            </w:pPr>
          </w:p>
        </w:tc>
        <w:tc>
          <w:tcPr>
            <w:tcW w:w="2378" w:type="dxa"/>
            <w:vAlign w:val="center"/>
          </w:tcPr>
          <w:p>
            <w:pPr>
              <w:pStyle w:val="9"/>
              <w:spacing w:line="360" w:lineRule="auto"/>
              <w:jc w:val="center"/>
              <w:rPr>
                <w:rFonts w:hint="eastAsia"/>
                <w:color w:val="auto"/>
              </w:rPr>
            </w:pPr>
            <w:r>
              <w:rPr>
                <w:rFonts w:hint="eastAsia"/>
                <w:color w:val="auto"/>
              </w:rPr>
              <w:t>江苏阳恒、江苏震宇合计[0-5%]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3"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color w:val="auto"/>
              </w:rPr>
            </w:pPr>
          </w:p>
        </w:tc>
        <w:tc>
          <w:tcPr>
            <w:tcW w:w="1276" w:type="dxa"/>
            <w:vMerge w:val="restart"/>
            <w:vAlign w:val="center"/>
          </w:tcPr>
          <w:p>
            <w:pPr>
              <w:pStyle w:val="9"/>
              <w:spacing w:line="360" w:lineRule="auto"/>
              <w:jc w:val="center"/>
              <w:rPr>
                <w:color w:val="auto"/>
              </w:rPr>
            </w:pPr>
            <w:r>
              <w:rPr>
                <w:rFonts w:hint="eastAsia"/>
                <w:color w:val="auto"/>
              </w:rPr>
              <w:t>中国市场</w:t>
            </w:r>
          </w:p>
        </w:tc>
        <w:tc>
          <w:tcPr>
            <w:tcW w:w="1417" w:type="dxa"/>
            <w:vMerge w:val="restart"/>
            <w:vAlign w:val="center"/>
          </w:tcPr>
          <w:p>
            <w:pPr>
              <w:pStyle w:val="9"/>
              <w:spacing w:line="360" w:lineRule="auto"/>
              <w:jc w:val="center"/>
              <w:rPr>
                <w:color w:val="auto"/>
              </w:rPr>
            </w:pPr>
            <w:r>
              <w:rPr>
                <w:rFonts w:hint="eastAsia"/>
                <w:color w:val="auto"/>
              </w:rPr>
              <w:t>江苏省产能</w:t>
            </w:r>
          </w:p>
        </w:tc>
        <w:tc>
          <w:tcPr>
            <w:tcW w:w="2378" w:type="dxa"/>
            <w:vAlign w:val="center"/>
          </w:tcPr>
          <w:p>
            <w:pPr>
              <w:pStyle w:val="9"/>
              <w:spacing w:line="360" w:lineRule="auto"/>
              <w:jc w:val="center"/>
              <w:rPr>
                <w:color w:val="auto"/>
              </w:rPr>
            </w:pPr>
            <w:r>
              <w:rPr>
                <w:rFonts w:hint="eastAsia"/>
                <w:color w:val="auto"/>
              </w:rPr>
              <w:t>江苏阳恒[0-5%]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2"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color w:val="auto"/>
              </w:rPr>
            </w:pPr>
          </w:p>
        </w:tc>
        <w:tc>
          <w:tcPr>
            <w:tcW w:w="1276" w:type="dxa"/>
            <w:vMerge w:val="continue"/>
            <w:vAlign w:val="center"/>
          </w:tcPr>
          <w:p>
            <w:pPr>
              <w:pStyle w:val="9"/>
              <w:spacing w:line="360" w:lineRule="auto"/>
              <w:jc w:val="center"/>
              <w:rPr>
                <w:color w:val="auto"/>
              </w:rPr>
            </w:pPr>
          </w:p>
        </w:tc>
        <w:tc>
          <w:tcPr>
            <w:tcW w:w="1417" w:type="dxa"/>
            <w:vMerge w:val="continue"/>
            <w:vAlign w:val="center"/>
          </w:tcPr>
          <w:p>
            <w:pPr>
              <w:pStyle w:val="9"/>
              <w:spacing w:line="360" w:lineRule="auto"/>
              <w:jc w:val="center"/>
              <w:rPr>
                <w:color w:val="auto"/>
              </w:rPr>
            </w:pPr>
          </w:p>
        </w:tc>
        <w:tc>
          <w:tcPr>
            <w:tcW w:w="2378" w:type="dxa"/>
            <w:vAlign w:val="center"/>
          </w:tcPr>
          <w:p>
            <w:pPr>
              <w:pStyle w:val="9"/>
              <w:spacing w:line="360" w:lineRule="auto"/>
              <w:jc w:val="center"/>
              <w:rPr>
                <w:color w:val="auto"/>
              </w:rPr>
            </w:pPr>
            <w:r>
              <w:rPr>
                <w:rFonts w:hint="eastAsia"/>
                <w:color w:val="auto"/>
              </w:rPr>
              <w:t>江苏震宇[0-5%]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3"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color w:val="auto"/>
              </w:rPr>
            </w:pPr>
          </w:p>
        </w:tc>
        <w:tc>
          <w:tcPr>
            <w:tcW w:w="1276" w:type="dxa"/>
            <w:vMerge w:val="continue"/>
            <w:vAlign w:val="center"/>
          </w:tcPr>
          <w:p>
            <w:pPr>
              <w:pStyle w:val="9"/>
              <w:spacing w:line="360" w:lineRule="auto"/>
              <w:jc w:val="center"/>
              <w:rPr>
                <w:color w:val="auto"/>
              </w:rPr>
            </w:pPr>
          </w:p>
        </w:tc>
        <w:tc>
          <w:tcPr>
            <w:tcW w:w="1417" w:type="dxa"/>
            <w:vMerge w:val="continue"/>
            <w:vAlign w:val="center"/>
          </w:tcPr>
          <w:p>
            <w:pPr>
              <w:pStyle w:val="9"/>
              <w:spacing w:line="360" w:lineRule="auto"/>
              <w:jc w:val="center"/>
              <w:rPr>
                <w:rFonts w:hint="eastAsia"/>
                <w:color w:val="auto"/>
              </w:rPr>
            </w:pPr>
          </w:p>
        </w:tc>
        <w:tc>
          <w:tcPr>
            <w:tcW w:w="2378" w:type="dxa"/>
            <w:vAlign w:val="center"/>
          </w:tcPr>
          <w:p>
            <w:pPr>
              <w:pStyle w:val="9"/>
              <w:spacing w:line="360" w:lineRule="auto"/>
              <w:jc w:val="center"/>
              <w:rPr>
                <w:rFonts w:hint="eastAsia"/>
                <w:color w:val="auto"/>
              </w:rPr>
            </w:pPr>
            <w:r>
              <w:rPr>
                <w:rFonts w:hint="eastAsia"/>
                <w:color w:val="auto"/>
              </w:rPr>
              <w:t>江苏阳恒、江苏震宇合计[</w:t>
            </w:r>
            <w:r>
              <w:rPr>
                <w:color w:val="auto"/>
              </w:rPr>
              <w:t>5</w:t>
            </w:r>
            <w:r>
              <w:rPr>
                <w:rFonts w:hint="eastAsia"/>
                <w:color w:val="auto"/>
              </w:rPr>
              <w:t>-</w:t>
            </w:r>
            <w:r>
              <w:rPr>
                <w:color w:val="auto"/>
              </w:rPr>
              <w:t>10</w:t>
            </w:r>
            <w:r>
              <w:rPr>
                <w:rFonts w:hint="eastAsia"/>
                <w:color w:val="auto"/>
              </w:rPr>
              <w:t>%</w:t>
            </w:r>
            <w:r>
              <w:rPr>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3"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color w:val="auto"/>
              </w:rPr>
            </w:pPr>
          </w:p>
        </w:tc>
        <w:tc>
          <w:tcPr>
            <w:tcW w:w="1276" w:type="dxa"/>
            <w:vMerge w:val="continue"/>
            <w:vAlign w:val="center"/>
          </w:tcPr>
          <w:p>
            <w:pPr>
              <w:pStyle w:val="9"/>
              <w:spacing w:line="360" w:lineRule="auto"/>
              <w:jc w:val="center"/>
              <w:rPr>
                <w:color w:val="auto"/>
              </w:rPr>
            </w:pPr>
          </w:p>
        </w:tc>
        <w:tc>
          <w:tcPr>
            <w:tcW w:w="1417" w:type="dxa"/>
            <w:vMerge w:val="restart"/>
            <w:vAlign w:val="center"/>
          </w:tcPr>
          <w:p>
            <w:pPr>
              <w:pStyle w:val="9"/>
              <w:spacing w:line="360" w:lineRule="auto"/>
              <w:jc w:val="center"/>
              <w:rPr>
                <w:color w:val="auto"/>
              </w:rPr>
            </w:pPr>
            <w:r>
              <w:rPr>
                <w:rFonts w:hint="eastAsia"/>
                <w:color w:val="auto"/>
              </w:rPr>
              <w:t>江苏省产量</w:t>
            </w:r>
          </w:p>
        </w:tc>
        <w:tc>
          <w:tcPr>
            <w:tcW w:w="2378" w:type="dxa"/>
            <w:vAlign w:val="center"/>
          </w:tcPr>
          <w:p>
            <w:pPr>
              <w:pStyle w:val="9"/>
              <w:spacing w:line="360" w:lineRule="auto"/>
              <w:jc w:val="center"/>
              <w:rPr>
                <w:color w:val="auto"/>
              </w:rPr>
            </w:pPr>
            <w:r>
              <w:rPr>
                <w:rFonts w:hint="eastAsia"/>
                <w:color w:val="auto"/>
              </w:rPr>
              <w:t>江苏阳恒[</w:t>
            </w:r>
            <w:r>
              <w:rPr>
                <w:color w:val="auto"/>
              </w:rPr>
              <w:t>5</w:t>
            </w:r>
            <w:r>
              <w:rPr>
                <w:rFonts w:hint="eastAsia"/>
                <w:color w:val="auto"/>
              </w:rPr>
              <w:t>-</w:t>
            </w:r>
            <w:r>
              <w:rPr>
                <w:color w:val="auto"/>
              </w:rPr>
              <w:t>10</w:t>
            </w:r>
            <w:r>
              <w:rPr>
                <w:rFonts w:hint="eastAsia"/>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2"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color w:val="auto"/>
              </w:rPr>
            </w:pPr>
          </w:p>
        </w:tc>
        <w:tc>
          <w:tcPr>
            <w:tcW w:w="1276" w:type="dxa"/>
            <w:vMerge w:val="continue"/>
            <w:vAlign w:val="center"/>
          </w:tcPr>
          <w:p>
            <w:pPr>
              <w:pStyle w:val="9"/>
              <w:spacing w:line="360" w:lineRule="auto"/>
              <w:jc w:val="center"/>
              <w:rPr>
                <w:color w:val="auto"/>
              </w:rPr>
            </w:pPr>
          </w:p>
        </w:tc>
        <w:tc>
          <w:tcPr>
            <w:tcW w:w="1417" w:type="dxa"/>
            <w:vMerge w:val="continue"/>
            <w:vAlign w:val="center"/>
          </w:tcPr>
          <w:p>
            <w:pPr>
              <w:pStyle w:val="9"/>
              <w:spacing w:line="360" w:lineRule="auto"/>
              <w:jc w:val="center"/>
              <w:rPr>
                <w:color w:val="auto"/>
              </w:rPr>
            </w:pPr>
          </w:p>
        </w:tc>
        <w:tc>
          <w:tcPr>
            <w:tcW w:w="2378" w:type="dxa"/>
            <w:vAlign w:val="center"/>
          </w:tcPr>
          <w:p>
            <w:pPr>
              <w:pStyle w:val="9"/>
              <w:spacing w:line="360" w:lineRule="auto"/>
              <w:jc w:val="center"/>
              <w:rPr>
                <w:color w:val="auto"/>
              </w:rPr>
            </w:pPr>
            <w:r>
              <w:rPr>
                <w:rFonts w:hint="eastAsia"/>
                <w:color w:val="auto"/>
              </w:rPr>
              <w:t>江苏震宇[0-5%]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vAlign w:val="center"/>
          </w:tcPr>
          <w:p>
            <w:pPr>
              <w:pStyle w:val="9"/>
              <w:spacing w:line="360" w:lineRule="auto"/>
              <w:jc w:val="center"/>
              <w:rPr>
                <w:rFonts w:hint="eastAsia"/>
                <w:color w:val="auto"/>
              </w:rPr>
            </w:pPr>
          </w:p>
        </w:tc>
        <w:tc>
          <w:tcPr>
            <w:tcW w:w="1276" w:type="dxa"/>
            <w:vMerge w:val="continue"/>
            <w:vAlign w:val="center"/>
          </w:tcPr>
          <w:p>
            <w:pPr>
              <w:pStyle w:val="9"/>
              <w:spacing w:line="360" w:lineRule="auto"/>
              <w:jc w:val="center"/>
              <w:rPr>
                <w:rFonts w:hint="eastAsia"/>
                <w:color w:val="auto"/>
              </w:rPr>
            </w:pPr>
          </w:p>
        </w:tc>
        <w:tc>
          <w:tcPr>
            <w:tcW w:w="1417" w:type="dxa"/>
            <w:vMerge w:val="continue"/>
            <w:vAlign w:val="center"/>
          </w:tcPr>
          <w:p>
            <w:pPr>
              <w:pStyle w:val="9"/>
              <w:spacing w:line="360" w:lineRule="auto"/>
              <w:jc w:val="center"/>
              <w:rPr>
                <w:rFonts w:hint="eastAsia"/>
                <w:color w:val="auto"/>
              </w:rPr>
            </w:pPr>
          </w:p>
        </w:tc>
        <w:tc>
          <w:tcPr>
            <w:tcW w:w="2378" w:type="dxa"/>
            <w:vAlign w:val="center"/>
          </w:tcPr>
          <w:p>
            <w:pPr>
              <w:pStyle w:val="9"/>
              <w:spacing w:line="360" w:lineRule="auto"/>
              <w:jc w:val="center"/>
              <w:rPr>
                <w:rFonts w:hint="eastAsia"/>
                <w:color w:val="auto"/>
              </w:rPr>
            </w:pPr>
            <w:r>
              <w:rPr>
                <w:rFonts w:hint="eastAsia"/>
                <w:color w:val="auto"/>
              </w:rPr>
              <w:t>江苏阳恒、江苏震宇合计[</w:t>
            </w:r>
            <w:r>
              <w:rPr>
                <w:color w:val="auto"/>
              </w:rPr>
              <w:t>5</w:t>
            </w:r>
            <w:r>
              <w:rPr>
                <w:rFonts w:hint="eastAsia"/>
                <w:color w:val="auto"/>
              </w:rPr>
              <w:t>-</w:t>
            </w:r>
            <w:r>
              <w:rPr>
                <w:color w:val="auto"/>
              </w:rPr>
              <w:t>10</w:t>
            </w:r>
            <w:r>
              <w:rPr>
                <w:rFonts w:hint="eastAsia"/>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restart"/>
            <w:vAlign w:val="center"/>
          </w:tcPr>
          <w:p>
            <w:pPr>
              <w:pStyle w:val="9"/>
              <w:spacing w:line="360" w:lineRule="auto"/>
              <w:jc w:val="center"/>
              <w:rPr>
                <w:color w:val="auto"/>
              </w:rPr>
            </w:pPr>
            <w:r>
              <w:rPr>
                <w:rFonts w:hint="eastAsia"/>
                <w:color w:val="auto"/>
              </w:rPr>
              <w:t>电子级硫酸</w:t>
            </w:r>
          </w:p>
        </w:tc>
        <w:tc>
          <w:tcPr>
            <w:tcW w:w="2693" w:type="dxa"/>
            <w:gridSpan w:val="2"/>
            <w:vMerge w:val="restart"/>
            <w:vAlign w:val="center"/>
          </w:tcPr>
          <w:p>
            <w:pPr>
              <w:pStyle w:val="9"/>
              <w:spacing w:line="360" w:lineRule="auto"/>
              <w:jc w:val="center"/>
              <w:rPr>
                <w:color w:val="auto"/>
              </w:rPr>
            </w:pPr>
            <w:r>
              <w:rPr>
                <w:rFonts w:hint="eastAsia"/>
                <w:color w:val="auto"/>
              </w:rPr>
              <w:t>全球市场</w:t>
            </w:r>
          </w:p>
        </w:tc>
        <w:tc>
          <w:tcPr>
            <w:tcW w:w="2378" w:type="dxa"/>
            <w:vAlign w:val="center"/>
          </w:tcPr>
          <w:p>
            <w:pPr>
              <w:pStyle w:val="9"/>
              <w:spacing w:line="360" w:lineRule="auto"/>
              <w:jc w:val="center"/>
              <w:rPr>
                <w:color w:val="auto"/>
              </w:rPr>
            </w:pPr>
            <w:r>
              <w:rPr>
                <w:rFonts w:hint="eastAsia"/>
                <w:color w:val="auto"/>
              </w:rPr>
              <w:t>江苏阳恒[0-5%]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3" w:hRule="atLeast"/>
        </w:trPr>
        <w:tc>
          <w:tcPr>
            <w:tcW w:w="1543" w:type="dxa"/>
            <w:vMerge w:val="continue"/>
            <w:shd w:val="clear" w:color="auto" w:fill="D9D9D9"/>
          </w:tcPr>
          <w:p>
            <w:pPr>
              <w:pStyle w:val="9"/>
              <w:spacing w:line="480" w:lineRule="exact"/>
              <w:rPr>
                <w:color w:val="000000" w:themeColor="text1"/>
              </w:rPr>
            </w:pPr>
          </w:p>
        </w:tc>
        <w:tc>
          <w:tcPr>
            <w:tcW w:w="1684" w:type="dxa"/>
            <w:gridSpan w:val="2"/>
            <w:vMerge w:val="continue"/>
          </w:tcPr>
          <w:p>
            <w:pPr>
              <w:pStyle w:val="9"/>
              <w:spacing w:line="360" w:lineRule="auto"/>
              <w:jc w:val="both"/>
              <w:rPr>
                <w:color w:val="auto"/>
              </w:rPr>
            </w:pPr>
          </w:p>
        </w:tc>
        <w:tc>
          <w:tcPr>
            <w:tcW w:w="2693" w:type="dxa"/>
            <w:gridSpan w:val="2"/>
            <w:vMerge w:val="continue"/>
          </w:tcPr>
          <w:p>
            <w:pPr>
              <w:pStyle w:val="9"/>
              <w:spacing w:line="360" w:lineRule="auto"/>
              <w:jc w:val="both"/>
              <w:rPr>
                <w:color w:val="auto"/>
              </w:rPr>
            </w:pPr>
          </w:p>
        </w:tc>
        <w:tc>
          <w:tcPr>
            <w:tcW w:w="2378" w:type="dxa"/>
            <w:vAlign w:val="center"/>
          </w:tcPr>
          <w:p>
            <w:pPr>
              <w:pStyle w:val="9"/>
              <w:spacing w:line="360" w:lineRule="auto"/>
              <w:jc w:val="center"/>
              <w:rPr>
                <w:color w:val="auto"/>
              </w:rPr>
            </w:pPr>
            <w:r>
              <w:rPr>
                <w:rFonts w:hint="eastAsia"/>
                <w:color w:val="auto"/>
              </w:rPr>
              <w:t>江苏震宇[0-5%]</w:t>
            </w:r>
          </w:p>
        </w:tc>
      </w:tr>
    </w:tbl>
    <w:p>
      <w:pPr>
        <w:pStyle w:val="9"/>
        <w:spacing w:line="480" w:lineRule="exact"/>
        <w:rPr>
          <w:color w:val="000000" w:themeColor="text1"/>
        </w:rPr>
      </w:pPr>
      <w:r>
        <w:rPr>
          <w:rFonts w:hint="eastAsia"/>
          <w:color w:val="000000" w:themeColor="text1"/>
        </w:rPr>
        <w:t>注解：</w:t>
      </w:r>
    </w:p>
    <w:p>
      <w:pPr>
        <w:pStyle w:val="9"/>
        <w:spacing w:line="480" w:lineRule="exact"/>
        <w:rPr>
          <w:color w:val="000000" w:themeColor="text1"/>
        </w:rPr>
      </w:pPr>
      <w:r>
        <w:rPr>
          <w:rFonts w:hint="eastAsia"/>
          <w:color w:val="000000" w:themeColor="text1"/>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pStyle w:val="9"/>
        <w:spacing w:line="480" w:lineRule="exact"/>
        <w:rPr>
          <w:color w:val="000000" w:themeColor="text1"/>
        </w:rPr>
      </w:pPr>
      <w:r>
        <w:rPr>
          <w:rFonts w:hint="eastAsia"/>
          <w:color w:val="000000" w:themeColor="text1"/>
        </w:rPr>
        <w:t>2、申报方申请简易案件的理由是基于第4项、第5项时，无须在备注中说明相关市场和市场份额。</w:t>
      </w:r>
      <w:r>
        <w:rPr>
          <w:rFonts w:hint="eastAsia"/>
          <w:color w:val="000000" w:themeColor="text1"/>
        </w:rPr>
        <w:br w:type="textWrapping"/>
      </w:r>
      <w:r>
        <w:rPr>
          <w:rFonts w:hint="eastAsia"/>
          <w:color w:val="000000" w:themeColor="text1"/>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Times">
    <w:altName w:val="Times New Roman"/>
    <w:panose1 w:val="00000500000000020000"/>
    <w:charset w:val="00"/>
    <w:family w:val="auto"/>
    <w:pitch w:val="default"/>
    <w:sig w:usb0="00000000" w:usb1="00000000" w:usb2="00000000" w:usb3="00000000" w:csb0="0000019F" w:csb1="00000000"/>
  </w:font>
  <w:font w:name="Simplified Arabic">
    <w:panose1 w:val="02020603050405020304"/>
    <w:charset w:val="B2"/>
    <w:family w:val="roman"/>
    <w:pitch w:val="default"/>
    <w:sig w:usb0="00002003" w:usb1="00000000" w:usb2="00000000" w:usb3="00000000" w:csb0="00000041" w:csb1="20080000"/>
  </w:font>
  <w:font w:name="Wingdings">
    <w:panose1 w:val="05000000000000000000"/>
    <w:charset w:val="00"/>
    <w:family w:val="decorative"/>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5095E"/>
    <w:rsid w:val="000A2981"/>
    <w:rsid w:val="00121220"/>
    <w:rsid w:val="00130FF0"/>
    <w:rsid w:val="0013750E"/>
    <w:rsid w:val="00137555"/>
    <w:rsid w:val="00163A5B"/>
    <w:rsid w:val="00167DE1"/>
    <w:rsid w:val="001C5594"/>
    <w:rsid w:val="0024568F"/>
    <w:rsid w:val="0025095E"/>
    <w:rsid w:val="00262400"/>
    <w:rsid w:val="002627D2"/>
    <w:rsid w:val="00270C55"/>
    <w:rsid w:val="002C4E19"/>
    <w:rsid w:val="002E359F"/>
    <w:rsid w:val="002E7360"/>
    <w:rsid w:val="00322CA7"/>
    <w:rsid w:val="00336A2E"/>
    <w:rsid w:val="00354E1E"/>
    <w:rsid w:val="00360D38"/>
    <w:rsid w:val="00392762"/>
    <w:rsid w:val="003A6BE5"/>
    <w:rsid w:val="00430E8D"/>
    <w:rsid w:val="00464BCE"/>
    <w:rsid w:val="00471DB5"/>
    <w:rsid w:val="00477A54"/>
    <w:rsid w:val="004A3375"/>
    <w:rsid w:val="004E7436"/>
    <w:rsid w:val="00536040"/>
    <w:rsid w:val="0056297B"/>
    <w:rsid w:val="005A5183"/>
    <w:rsid w:val="005E0729"/>
    <w:rsid w:val="005F5086"/>
    <w:rsid w:val="005F66BC"/>
    <w:rsid w:val="006135C1"/>
    <w:rsid w:val="00620C31"/>
    <w:rsid w:val="0065512E"/>
    <w:rsid w:val="006709D9"/>
    <w:rsid w:val="006C7464"/>
    <w:rsid w:val="00765CBE"/>
    <w:rsid w:val="007D17B4"/>
    <w:rsid w:val="00816C97"/>
    <w:rsid w:val="00951EE8"/>
    <w:rsid w:val="00A33F0C"/>
    <w:rsid w:val="00A54A17"/>
    <w:rsid w:val="00A87EDF"/>
    <w:rsid w:val="00AC3EAA"/>
    <w:rsid w:val="00AC6A2C"/>
    <w:rsid w:val="00AC6B74"/>
    <w:rsid w:val="00AD4228"/>
    <w:rsid w:val="00AE4CDA"/>
    <w:rsid w:val="00B64FB2"/>
    <w:rsid w:val="00C002BD"/>
    <w:rsid w:val="00C448AF"/>
    <w:rsid w:val="00C62F0D"/>
    <w:rsid w:val="00C95212"/>
    <w:rsid w:val="00CD264E"/>
    <w:rsid w:val="00D131A1"/>
    <w:rsid w:val="00DC47A5"/>
    <w:rsid w:val="00DC559D"/>
    <w:rsid w:val="00E51354"/>
    <w:rsid w:val="00F151EF"/>
    <w:rsid w:val="00F9568A"/>
    <w:rsid w:val="3D560F0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4"/>
      <w:szCs w:val="24"/>
      <w:lang w:val="en-US" w:eastAsia="zh-CN" w:bidi="ar-SA"/>
    </w:rPr>
  </w:style>
  <w:style w:type="character" w:default="1" w:styleId="6">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Body Text"/>
    <w:basedOn w:val="1"/>
    <w:link w:val="12"/>
    <w:unhideWhenUsed/>
    <w:uiPriority w:val="0"/>
    <w:pPr>
      <w:spacing w:after="240"/>
      <w:jc w:val="both"/>
    </w:pPr>
    <w:rPr>
      <w:rFonts w:cs="Simplified Arabic"/>
      <w:lang w:eastAsia="en-GB" w:bidi="ar-AE"/>
    </w:rPr>
  </w:style>
  <w:style w:type="paragraph" w:styleId="3">
    <w:name w:val="Balloon Text"/>
    <w:basedOn w:val="1"/>
    <w:link w:val="13"/>
    <w:semiHidden/>
    <w:unhideWhenUsed/>
    <w:uiPriority w:val="99"/>
    <w:rPr>
      <w:sz w:val="18"/>
      <w:szCs w:val="18"/>
    </w:rPr>
  </w:style>
  <w:style w:type="paragraph" w:styleId="4">
    <w:name w:val="footer"/>
    <w:basedOn w:val="1"/>
    <w:link w:val="11"/>
    <w:unhideWhenUsed/>
    <w:qFormat/>
    <w:uiPriority w:val="99"/>
    <w:pPr>
      <w:tabs>
        <w:tab w:val="center" w:pos="4153"/>
        <w:tab w:val="right" w:pos="8306"/>
      </w:tabs>
      <w:snapToGrid w:val="0"/>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9">
    <w:name w:val="p1"/>
    <w:basedOn w:val="1"/>
    <w:qFormat/>
    <w:uiPriority w:val="0"/>
    <w:rPr>
      <w:rFonts w:ascii="Times" w:hAnsi="Times"/>
      <w:color w:val="012E65"/>
    </w:rPr>
  </w:style>
  <w:style w:type="character" w:customStyle="1" w:styleId="10">
    <w:name w:val="页眉 字符"/>
    <w:basedOn w:val="6"/>
    <w:link w:val="5"/>
    <w:qFormat/>
    <w:uiPriority w:val="99"/>
    <w:rPr>
      <w:rFonts w:ascii="Times New Roman" w:hAnsi="Times New Roman" w:eastAsia="宋体" w:cs="Times New Roman"/>
      <w:kern w:val="0"/>
      <w:sz w:val="18"/>
      <w:szCs w:val="18"/>
    </w:rPr>
  </w:style>
  <w:style w:type="character" w:customStyle="1" w:styleId="11">
    <w:name w:val="页脚 字符"/>
    <w:basedOn w:val="6"/>
    <w:link w:val="4"/>
    <w:qFormat/>
    <w:uiPriority w:val="99"/>
    <w:rPr>
      <w:rFonts w:ascii="Times New Roman" w:hAnsi="Times New Roman" w:eastAsia="宋体" w:cs="Times New Roman"/>
      <w:kern w:val="0"/>
      <w:sz w:val="18"/>
      <w:szCs w:val="18"/>
    </w:rPr>
  </w:style>
  <w:style w:type="character" w:customStyle="1" w:styleId="12">
    <w:name w:val="正文文本 字符"/>
    <w:basedOn w:val="6"/>
    <w:link w:val="2"/>
    <w:uiPriority w:val="0"/>
    <w:rPr>
      <w:rFonts w:ascii="Times New Roman" w:hAnsi="Times New Roman" w:eastAsia="宋体" w:cs="Simplified Arabic"/>
      <w:kern w:val="0"/>
      <w:sz w:val="24"/>
      <w:szCs w:val="24"/>
      <w:lang w:eastAsia="en-GB" w:bidi="ar-AE"/>
    </w:rPr>
  </w:style>
  <w:style w:type="character" w:customStyle="1" w:styleId="13">
    <w:name w:val="批注框文本 字符"/>
    <w:basedOn w:val="6"/>
    <w:link w:val="3"/>
    <w:semiHidden/>
    <w:qFormat/>
    <w:uiPriority w:val="99"/>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212</Words>
  <Characters>1212</Characters>
  <Lines>10</Lines>
  <Paragraphs>2</Paragraphs>
  <TotalTime>0</TotalTime>
  <ScaleCrop>false</ScaleCrop>
  <LinksUpToDate>false</LinksUpToDate>
  <CharactersWithSpaces>1422</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2019-09-24T03:22:00Z</dcterms:created>
  <dc:creator>WANG, Dakun /ZL</dc:creator>
  <cp:lastModifiedBy>mofcom</cp:lastModifiedBy>
  <dcterms:modified xsi:type="dcterms:W3CDTF">2020-07-28T02:57:19Z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