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center"/>
        <w:rPr>
          <w:rFonts w:ascii="Times New Roman" w:hAnsi="Times New Roman"/>
          <w:sz w:val="24"/>
          <w:szCs w:val="24"/>
        </w:rPr>
      </w:pPr>
      <w:r>
        <w:rPr>
          <w:rFonts w:ascii="Times New Roman" w:hAnsi="Times New Roman"/>
          <w:b/>
          <w:sz w:val="24"/>
          <w:szCs w:val="24"/>
        </w:rPr>
        <w:t>经营者集中简易案件公示表</w:t>
      </w: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napToGrid w:val="0"/>
              <w:jc w:val="center"/>
              <w:rPr>
                <w:rFonts w:ascii="Times New Roman" w:hAnsi="Times New Roman"/>
                <w:b/>
                <w:kern w:val="0"/>
                <w:sz w:val="24"/>
                <w:szCs w:val="24"/>
              </w:rPr>
            </w:pPr>
            <w:r>
              <w:rPr>
                <w:rFonts w:ascii="Times New Roman" w:hAnsi="Times New Roman"/>
                <w:b/>
                <w:kern w:val="0"/>
                <w:sz w:val="24"/>
                <w:szCs w:val="24"/>
              </w:rPr>
              <w:t>案件名称</w:t>
            </w:r>
          </w:p>
        </w:tc>
        <w:tc>
          <w:tcPr>
            <w:tcW w:w="6949" w:type="dxa"/>
            <w:gridSpan w:val="2"/>
          </w:tcPr>
          <w:p>
            <w:pPr>
              <w:snapToGrid w:val="0"/>
              <w:rPr>
                <w:rFonts w:ascii="Times New Roman" w:hAnsi="Times New Roman"/>
                <w:kern w:val="0"/>
                <w:sz w:val="24"/>
                <w:szCs w:val="24"/>
              </w:rPr>
            </w:pPr>
            <w:r>
              <w:rPr>
                <w:rFonts w:ascii="Times New Roman" w:hAnsi="Times New Roman"/>
                <w:bCs/>
                <w:sz w:val="24"/>
                <w:szCs w:val="24"/>
              </w:rPr>
              <w:t>中环能源（内蒙古）有限公司收购呼和浩特市环聚新能源开发有限公司股权案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napToGrid w:val="0"/>
              <w:jc w:val="center"/>
              <w:rPr>
                <w:rFonts w:ascii="Times New Roman" w:hAnsi="Times New Roman"/>
                <w:b/>
                <w:kern w:val="0"/>
                <w:sz w:val="24"/>
                <w:szCs w:val="24"/>
              </w:rPr>
            </w:pPr>
            <w:r>
              <w:rPr>
                <w:rFonts w:ascii="Times New Roman" w:hAnsi="Times New Roman"/>
                <w:b/>
                <w:kern w:val="0"/>
                <w:sz w:val="24"/>
                <w:szCs w:val="24"/>
              </w:rPr>
              <w:t>交易概况</w:t>
            </w:r>
          </w:p>
          <w:p>
            <w:pPr>
              <w:snapToGrid w:val="0"/>
              <w:jc w:val="center"/>
              <w:rPr>
                <w:rFonts w:ascii="Times New Roman" w:hAnsi="Times New Roman"/>
                <w:b/>
                <w:kern w:val="0"/>
                <w:sz w:val="24"/>
                <w:szCs w:val="24"/>
              </w:rPr>
            </w:pPr>
            <w:r>
              <w:rPr>
                <w:rFonts w:hint="eastAsia" w:ascii="Times New Roman" w:hAnsi="Times New Roman"/>
                <w:b/>
                <w:kern w:val="0"/>
                <w:sz w:val="24"/>
                <w:szCs w:val="24"/>
              </w:rPr>
              <w:t>（限</w:t>
            </w:r>
            <w:r>
              <w:rPr>
                <w:rFonts w:ascii="Times New Roman" w:hAnsi="Times New Roman"/>
                <w:b/>
                <w:kern w:val="0"/>
                <w:sz w:val="24"/>
                <w:szCs w:val="24"/>
              </w:rPr>
              <w:t>200</w:t>
            </w:r>
            <w:r>
              <w:rPr>
                <w:rFonts w:hint="eastAsia" w:ascii="Times New Roman" w:hAnsi="Times New Roman"/>
                <w:b/>
                <w:kern w:val="0"/>
                <w:sz w:val="24"/>
                <w:szCs w:val="24"/>
              </w:rPr>
              <w:t>字内）</w:t>
            </w:r>
          </w:p>
        </w:tc>
        <w:tc>
          <w:tcPr>
            <w:tcW w:w="6949" w:type="dxa"/>
            <w:gridSpan w:val="2"/>
          </w:tcPr>
          <w:p>
            <w:pPr>
              <w:rPr>
                <w:rFonts w:ascii="Times New Roman" w:hAnsi="Times New Roman"/>
                <w:kern w:val="0"/>
                <w:sz w:val="24"/>
                <w:szCs w:val="24"/>
              </w:rPr>
            </w:pPr>
            <w:r>
              <w:rPr>
                <w:rFonts w:hint="eastAsia" w:ascii="Times New Roman" w:hAnsi="Times New Roman"/>
                <w:bCs/>
                <w:sz w:val="24"/>
                <w:szCs w:val="24"/>
              </w:rPr>
              <w:t>本次交易涉及</w:t>
            </w:r>
            <w:r>
              <w:rPr>
                <w:rFonts w:ascii="Times New Roman" w:hAnsi="Times New Roman"/>
                <w:bCs/>
                <w:sz w:val="24"/>
                <w:szCs w:val="24"/>
              </w:rPr>
              <w:t>中环能源（内蒙古）有限公司（“</w:t>
            </w:r>
            <w:r>
              <w:rPr>
                <w:rFonts w:ascii="Times New Roman" w:hAnsi="Times New Roman"/>
                <w:b/>
                <w:bCs/>
                <w:kern w:val="0"/>
                <w:sz w:val="24"/>
                <w:szCs w:val="24"/>
              </w:rPr>
              <w:t>内蒙古中环</w:t>
            </w:r>
            <w:r>
              <w:rPr>
                <w:rFonts w:ascii="Times New Roman" w:hAnsi="Times New Roman"/>
                <w:bCs/>
                <w:sz w:val="24"/>
                <w:szCs w:val="24"/>
              </w:rPr>
              <w:t>”）</w:t>
            </w:r>
            <w:r>
              <w:rPr>
                <w:rFonts w:ascii="Times New Roman" w:hAnsi="Times New Roman"/>
                <w:kern w:val="0"/>
                <w:sz w:val="24"/>
                <w:szCs w:val="24"/>
              </w:rPr>
              <w:t>从</w:t>
            </w:r>
            <w:r>
              <w:rPr>
                <w:rFonts w:hint="eastAsia" w:ascii="Times New Roman" w:hAnsi="Times New Roman"/>
                <w:kern w:val="0"/>
                <w:sz w:val="24"/>
                <w:szCs w:val="24"/>
              </w:rPr>
              <w:t>晟博迩公司处（</w:t>
            </w:r>
            <w:r>
              <w:rPr>
                <w:rFonts w:ascii="Times New Roman" w:hAnsi="Times New Roman"/>
                <w:kern w:val="0"/>
                <w:sz w:val="24"/>
                <w:szCs w:val="24"/>
              </w:rPr>
              <w:t>“</w:t>
            </w:r>
            <w:r>
              <w:rPr>
                <w:rFonts w:ascii="Times New Roman" w:hAnsi="Times New Roman"/>
                <w:b/>
                <w:bCs/>
                <w:kern w:val="0"/>
                <w:sz w:val="24"/>
                <w:szCs w:val="24"/>
              </w:rPr>
              <w:t>晟博迩</w:t>
            </w:r>
            <w:r>
              <w:rPr>
                <w:rFonts w:ascii="Times New Roman" w:hAnsi="Times New Roman"/>
                <w:kern w:val="0"/>
                <w:sz w:val="24"/>
                <w:szCs w:val="24"/>
              </w:rPr>
              <w:t>”）</w:t>
            </w:r>
            <w:r>
              <w:rPr>
                <w:rFonts w:hint="eastAsia" w:ascii="Times New Roman" w:hAnsi="Times New Roman"/>
                <w:kern w:val="0"/>
                <w:sz w:val="24"/>
                <w:szCs w:val="24"/>
              </w:rPr>
              <w:t>收购目标公司</w:t>
            </w:r>
            <w:r>
              <w:rPr>
                <w:rFonts w:ascii="Times New Roman" w:hAnsi="Times New Roman"/>
                <w:kern w:val="0"/>
                <w:sz w:val="24"/>
                <w:szCs w:val="24"/>
              </w:rPr>
              <w:t>——</w:t>
            </w:r>
            <w:r>
              <w:rPr>
                <w:rFonts w:hint="eastAsia" w:ascii="Times New Roman" w:hAnsi="Times New Roman"/>
                <w:bCs/>
                <w:sz w:val="24"/>
                <w:szCs w:val="24"/>
              </w:rPr>
              <w:t>呼和浩特市环聚新能源开发有限公司（</w:t>
            </w:r>
            <w:r>
              <w:rPr>
                <w:rFonts w:ascii="Times New Roman" w:hAnsi="Times New Roman"/>
                <w:bCs/>
                <w:sz w:val="24"/>
                <w:szCs w:val="24"/>
              </w:rPr>
              <w:t>“</w:t>
            </w:r>
            <w:r>
              <w:rPr>
                <w:rFonts w:ascii="Times New Roman" w:hAnsi="Times New Roman"/>
                <w:b/>
                <w:bCs/>
                <w:kern w:val="0"/>
                <w:sz w:val="24"/>
                <w:szCs w:val="24"/>
              </w:rPr>
              <w:t>环聚新能源</w:t>
            </w:r>
            <w:r>
              <w:rPr>
                <w:rFonts w:ascii="Times New Roman" w:hAnsi="Times New Roman"/>
                <w:bCs/>
                <w:sz w:val="24"/>
                <w:szCs w:val="24"/>
              </w:rPr>
              <w:t>”）</w:t>
            </w:r>
            <w:r>
              <w:rPr>
                <w:rFonts w:hint="eastAsia" w:ascii="Times New Roman" w:hAnsi="Times New Roman"/>
                <w:kern w:val="0"/>
                <w:sz w:val="24"/>
                <w:szCs w:val="24"/>
              </w:rPr>
              <w:t>的部分股权。交易前，环聚新能源由内蒙古中环、苹果运营公司（</w:t>
            </w:r>
            <w:r>
              <w:rPr>
                <w:rFonts w:ascii="Times New Roman" w:hAnsi="Times New Roman"/>
                <w:kern w:val="0"/>
                <w:sz w:val="24"/>
                <w:szCs w:val="24"/>
              </w:rPr>
              <w:t>“</w:t>
            </w:r>
            <w:r>
              <w:rPr>
                <w:rFonts w:ascii="Times New Roman" w:hAnsi="Times New Roman"/>
                <w:b/>
                <w:bCs/>
                <w:kern w:val="0"/>
                <w:sz w:val="24"/>
                <w:szCs w:val="24"/>
              </w:rPr>
              <w:t>苹果</w:t>
            </w:r>
            <w:r>
              <w:rPr>
                <w:rFonts w:ascii="Times New Roman" w:hAnsi="Times New Roman"/>
                <w:kern w:val="0"/>
                <w:sz w:val="24"/>
                <w:szCs w:val="24"/>
              </w:rPr>
              <w:t>”）、晟博迩</w:t>
            </w:r>
            <w:r>
              <w:rPr>
                <w:rFonts w:hint="eastAsia" w:ascii="Times New Roman" w:hAnsi="Times New Roman"/>
                <w:kern w:val="0"/>
                <w:sz w:val="24"/>
                <w:szCs w:val="24"/>
              </w:rPr>
              <w:t>三者</w:t>
            </w:r>
            <w:r>
              <w:rPr>
                <w:rFonts w:ascii="Times New Roman" w:hAnsi="Times New Roman"/>
                <w:kern w:val="0"/>
                <w:sz w:val="24"/>
                <w:szCs w:val="24"/>
              </w:rPr>
              <w:t>共同控制。</w:t>
            </w:r>
            <w:r>
              <w:rPr>
                <w:rFonts w:hint="eastAsia" w:ascii="Times New Roman" w:hAnsi="Times New Roman"/>
                <w:kern w:val="0"/>
                <w:sz w:val="24"/>
                <w:szCs w:val="24"/>
              </w:rPr>
              <w:t>交易完成后，环聚新能源将由内蒙古中环和苹果共同控制。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napToGrid w:val="0"/>
              <w:jc w:val="center"/>
              <w:rPr>
                <w:rFonts w:ascii="Times New Roman" w:hAnsi="Times New Roman"/>
                <w:b/>
                <w:kern w:val="0"/>
                <w:sz w:val="24"/>
                <w:szCs w:val="24"/>
              </w:rPr>
            </w:pPr>
            <w:r>
              <w:rPr>
                <w:rFonts w:ascii="Times New Roman" w:hAnsi="Times New Roman"/>
                <w:b/>
                <w:kern w:val="0"/>
                <w:sz w:val="24"/>
                <w:szCs w:val="24"/>
              </w:rPr>
              <w:t>参与集中的</w:t>
            </w:r>
          </w:p>
          <w:p>
            <w:pPr>
              <w:snapToGrid w:val="0"/>
              <w:jc w:val="center"/>
              <w:rPr>
                <w:rFonts w:ascii="Times New Roman" w:hAnsi="Times New Roman"/>
                <w:b/>
                <w:kern w:val="0"/>
                <w:sz w:val="24"/>
                <w:szCs w:val="24"/>
              </w:rPr>
            </w:pPr>
            <w:r>
              <w:rPr>
                <w:rFonts w:hint="eastAsia" w:ascii="Times New Roman" w:hAnsi="Times New Roman"/>
                <w:b/>
                <w:kern w:val="0"/>
                <w:sz w:val="24"/>
                <w:szCs w:val="24"/>
              </w:rPr>
              <w:t>经营者简介</w:t>
            </w:r>
          </w:p>
        </w:tc>
        <w:tc>
          <w:tcPr>
            <w:tcW w:w="1796" w:type="dxa"/>
          </w:tcPr>
          <w:p>
            <w:pPr>
              <w:snapToGrid w:val="0"/>
              <w:rPr>
                <w:rFonts w:ascii="Times New Roman" w:hAnsi="Times New Roman"/>
                <w:kern w:val="0"/>
                <w:sz w:val="24"/>
                <w:szCs w:val="24"/>
              </w:rPr>
            </w:pPr>
            <w:r>
              <w:rPr>
                <w:rFonts w:ascii="Times New Roman" w:hAnsi="Times New Roman"/>
                <w:kern w:val="0"/>
                <w:sz w:val="24"/>
                <w:szCs w:val="24"/>
              </w:rPr>
              <w:t>1</w:t>
            </w:r>
            <w:r>
              <w:rPr>
                <w:rFonts w:hint="eastAsia" w:ascii="Times New Roman" w:hAnsi="Times New Roman"/>
                <w:kern w:val="0"/>
                <w:sz w:val="24"/>
                <w:szCs w:val="24"/>
              </w:rPr>
              <w:t>、内蒙古中环</w:t>
            </w:r>
          </w:p>
        </w:tc>
        <w:tc>
          <w:tcPr>
            <w:tcW w:w="5153" w:type="dxa"/>
          </w:tcPr>
          <w:p>
            <w:pPr>
              <w:snapToGrid w:val="0"/>
              <w:rPr>
                <w:rFonts w:ascii="Times New Roman" w:hAnsi="Times New Roman"/>
                <w:kern w:val="0"/>
                <w:sz w:val="24"/>
                <w:szCs w:val="24"/>
              </w:rPr>
            </w:pPr>
            <w:r>
              <w:rPr>
                <w:rFonts w:hint="eastAsia" w:ascii="Times New Roman" w:hAnsi="Times New Roman"/>
                <w:kern w:val="0"/>
                <w:sz w:val="24"/>
                <w:szCs w:val="24"/>
              </w:rPr>
              <w:t>内蒙古中环，成立于</w:t>
            </w:r>
            <w:r>
              <w:rPr>
                <w:rFonts w:ascii="Times New Roman" w:hAnsi="Times New Roman"/>
                <w:kern w:val="0"/>
                <w:sz w:val="24"/>
                <w:szCs w:val="24"/>
              </w:rPr>
              <w:t>2012</w:t>
            </w:r>
            <w:r>
              <w:rPr>
                <w:rFonts w:hint="eastAsia" w:ascii="Times New Roman" w:hAnsi="Times New Roman"/>
                <w:kern w:val="0"/>
                <w:sz w:val="24"/>
                <w:szCs w:val="24"/>
              </w:rPr>
              <w:t>年</w:t>
            </w:r>
            <w:r>
              <w:rPr>
                <w:rFonts w:ascii="Times New Roman" w:hAnsi="Times New Roman"/>
                <w:kern w:val="0"/>
                <w:sz w:val="24"/>
                <w:szCs w:val="24"/>
              </w:rPr>
              <w:t>12</w:t>
            </w:r>
            <w:r>
              <w:rPr>
                <w:rFonts w:hint="eastAsia" w:ascii="Times New Roman" w:hAnsi="Times New Roman"/>
                <w:kern w:val="0"/>
                <w:sz w:val="24"/>
                <w:szCs w:val="24"/>
              </w:rPr>
              <w:t>月，由天津中环电子信息集团有限公司控制，</w:t>
            </w:r>
            <w:r>
              <w:rPr>
                <w:rFonts w:ascii="Times New Roman" w:hAnsi="Times New Roman"/>
                <w:kern w:val="0"/>
                <w:sz w:val="24"/>
                <w:szCs w:val="24"/>
              </w:rPr>
              <w:t>主要从事太阳能光伏电站项目的技术开发及投资业务，能源项目的技术咨询，光伏发电物资的采购。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04" w:hRule="exact"/>
        </w:trPr>
        <w:tc>
          <w:tcPr>
            <w:tcW w:w="1809" w:type="dxa"/>
            <w:vMerge w:val="continue"/>
            <w:shd w:val="clear" w:color="auto" w:fill="D9D9D9"/>
            <w:vAlign w:val="center"/>
          </w:tcPr>
          <w:p>
            <w:pPr>
              <w:snapToGrid w:val="0"/>
              <w:jc w:val="center"/>
              <w:rPr>
                <w:rFonts w:ascii="Times New Roman" w:hAnsi="Times New Roman"/>
                <w:b/>
                <w:kern w:val="0"/>
                <w:sz w:val="24"/>
                <w:szCs w:val="24"/>
              </w:rPr>
            </w:pPr>
          </w:p>
        </w:tc>
        <w:tc>
          <w:tcPr>
            <w:tcW w:w="1796" w:type="dxa"/>
          </w:tcPr>
          <w:p>
            <w:pPr>
              <w:snapToGrid w:val="0"/>
              <w:rPr>
                <w:rFonts w:ascii="Times New Roman" w:hAnsi="Times New Roman"/>
                <w:kern w:val="0"/>
                <w:sz w:val="24"/>
                <w:szCs w:val="24"/>
              </w:rPr>
            </w:pPr>
            <w:r>
              <w:rPr>
                <w:rFonts w:ascii="Times New Roman" w:hAnsi="Times New Roman"/>
                <w:kern w:val="0"/>
                <w:sz w:val="24"/>
                <w:szCs w:val="24"/>
              </w:rPr>
              <w:t>2</w:t>
            </w:r>
            <w:r>
              <w:rPr>
                <w:rFonts w:hint="eastAsia" w:ascii="Times New Roman" w:hAnsi="Times New Roman"/>
                <w:kern w:val="0"/>
                <w:sz w:val="24"/>
                <w:szCs w:val="24"/>
              </w:rPr>
              <w:t>、苹果</w:t>
            </w:r>
          </w:p>
        </w:tc>
        <w:tc>
          <w:tcPr>
            <w:tcW w:w="5153" w:type="dxa"/>
          </w:tcPr>
          <w:p>
            <w:pPr>
              <w:snapToGrid w:val="0"/>
              <w:rPr>
                <w:rFonts w:ascii="Times New Roman" w:hAnsi="Times New Roman"/>
                <w:kern w:val="0"/>
                <w:sz w:val="24"/>
                <w:szCs w:val="24"/>
              </w:rPr>
            </w:pPr>
            <w:r>
              <w:rPr>
                <w:rFonts w:hint="eastAsia" w:ascii="Times New Roman" w:hAnsi="Times New Roman"/>
                <w:kern w:val="0"/>
                <w:sz w:val="24"/>
                <w:szCs w:val="24"/>
              </w:rPr>
              <w:t>在全球范围内，苹果的主要业务是通过购买产品工具和生产工艺设备，保障长期库存配件的供应以及用于生产苹果集团产品的部分配件的采购和销售，以支持苹果集团的业务活动。但在中国境内，作为研发和商业中心，苹果不直接参与苹果集团在中国境内的经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66" w:hRule="exact"/>
        </w:trPr>
        <w:tc>
          <w:tcPr>
            <w:tcW w:w="1809" w:type="dxa"/>
            <w:vMerge w:val="continue"/>
            <w:shd w:val="clear" w:color="auto" w:fill="D9D9D9"/>
            <w:vAlign w:val="center"/>
          </w:tcPr>
          <w:p>
            <w:pPr>
              <w:snapToGrid w:val="0"/>
              <w:jc w:val="center"/>
              <w:rPr>
                <w:rFonts w:ascii="Times New Roman" w:hAnsi="Times New Roman"/>
                <w:b/>
                <w:kern w:val="0"/>
                <w:sz w:val="24"/>
                <w:szCs w:val="24"/>
              </w:rPr>
            </w:pPr>
          </w:p>
        </w:tc>
        <w:tc>
          <w:tcPr>
            <w:tcW w:w="1796" w:type="dxa"/>
          </w:tcPr>
          <w:p>
            <w:pPr>
              <w:snapToGrid w:val="0"/>
              <w:rPr>
                <w:rFonts w:ascii="Times New Roman" w:hAnsi="Times New Roman"/>
                <w:kern w:val="0"/>
                <w:sz w:val="24"/>
                <w:szCs w:val="24"/>
              </w:rPr>
            </w:pPr>
            <w:r>
              <w:rPr>
                <w:rFonts w:ascii="Times New Roman" w:hAnsi="Times New Roman"/>
                <w:kern w:val="0"/>
                <w:sz w:val="24"/>
                <w:szCs w:val="24"/>
              </w:rPr>
              <w:t>3</w:t>
            </w:r>
            <w:r>
              <w:rPr>
                <w:rFonts w:hint="eastAsia" w:ascii="Times New Roman" w:hAnsi="Times New Roman"/>
                <w:kern w:val="0"/>
                <w:sz w:val="24"/>
                <w:szCs w:val="24"/>
              </w:rPr>
              <w:t>、环聚新能源</w:t>
            </w:r>
          </w:p>
        </w:tc>
        <w:tc>
          <w:tcPr>
            <w:tcW w:w="5153" w:type="dxa"/>
          </w:tcPr>
          <w:p>
            <w:pPr>
              <w:snapToGrid w:val="0"/>
              <w:rPr>
                <w:rFonts w:ascii="Times New Roman" w:hAnsi="Times New Roman"/>
                <w:kern w:val="0"/>
                <w:sz w:val="24"/>
                <w:szCs w:val="24"/>
              </w:rPr>
            </w:pPr>
            <w:r>
              <w:rPr>
                <w:rFonts w:hint="eastAsia" w:ascii="Times New Roman" w:hAnsi="Times New Roman"/>
                <w:kern w:val="0"/>
                <w:sz w:val="24"/>
                <w:szCs w:val="24"/>
              </w:rPr>
              <w:t>环聚新能源，</w:t>
            </w:r>
            <w:r>
              <w:rPr>
                <w:rFonts w:ascii="Times New Roman" w:hAnsi="Times New Roman"/>
                <w:kern w:val="0"/>
                <w:sz w:val="24"/>
                <w:szCs w:val="24"/>
              </w:rPr>
              <w:t>成立于2013</w:t>
            </w:r>
            <w:r>
              <w:rPr>
                <w:rFonts w:hint="eastAsia" w:ascii="Times New Roman" w:hAnsi="Times New Roman"/>
                <w:kern w:val="0"/>
                <w:sz w:val="24"/>
                <w:szCs w:val="24"/>
              </w:rPr>
              <w:t>年</w:t>
            </w:r>
            <w:r>
              <w:rPr>
                <w:rFonts w:ascii="Times New Roman" w:hAnsi="Times New Roman"/>
                <w:kern w:val="0"/>
                <w:sz w:val="24"/>
                <w:szCs w:val="24"/>
              </w:rPr>
              <w:t>6</w:t>
            </w:r>
            <w:r>
              <w:rPr>
                <w:rFonts w:hint="eastAsia" w:ascii="Times New Roman" w:hAnsi="Times New Roman"/>
                <w:kern w:val="0"/>
                <w:sz w:val="24"/>
                <w:szCs w:val="24"/>
              </w:rPr>
              <w:t>月，主要从事</w:t>
            </w:r>
            <w:r>
              <w:rPr>
                <w:rFonts w:hint="eastAsia" w:ascii="Times New Roman" w:hAnsi="Times New Roman"/>
                <w:sz w:val="24"/>
                <w:szCs w:val="24"/>
              </w:rPr>
              <w:t>光伏电站的开发、建设和运营。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napToGrid w:val="0"/>
              <w:jc w:val="center"/>
              <w:rPr>
                <w:rFonts w:ascii="Times New Roman" w:hAnsi="Times New Roman"/>
                <w:b/>
                <w:kern w:val="0"/>
                <w:sz w:val="24"/>
                <w:szCs w:val="24"/>
              </w:rPr>
            </w:pPr>
            <w:r>
              <w:rPr>
                <w:rFonts w:ascii="Times New Roman" w:hAnsi="Times New Roman"/>
                <w:b/>
                <w:kern w:val="0"/>
                <w:sz w:val="24"/>
                <w:szCs w:val="24"/>
              </w:rPr>
              <w:t>简易案件理由（可以单选，也可以多选）</w:t>
            </w:r>
          </w:p>
        </w:tc>
        <w:tc>
          <w:tcPr>
            <w:tcW w:w="6949" w:type="dxa"/>
            <w:gridSpan w:val="2"/>
          </w:tcPr>
          <w:p>
            <w:pPr>
              <w:snapToGrid w:val="0"/>
              <w:rPr>
                <w:rFonts w:ascii="Times New Roman" w:hAnsi="Times New Roman"/>
                <w:kern w:val="0"/>
                <w:sz w:val="24"/>
                <w:szCs w:val="24"/>
              </w:rPr>
            </w:pPr>
            <w:r>
              <w:rPr>
                <w:rFonts w:ascii="Times New Roman" w:hAnsi="Times New Roman"/>
                <w:sz w:val="24"/>
                <w:szCs w:val="24"/>
              </w:rPr>
              <w:sym w:font="Wingdings" w:char="F0FE"/>
            </w:r>
            <w:r>
              <w:rPr>
                <w:rFonts w:ascii="Times New Roman" w:hAnsi="Times New Roman"/>
                <w:kern w:val="0"/>
                <w:sz w:val="24"/>
                <w:szCs w:val="24"/>
              </w:rPr>
              <w:t>1.在同一相关市场，所有参与集中的经营者所占市场份额之和小于15%</w:t>
            </w:r>
            <w:r>
              <w:rPr>
                <w:rFonts w:hint="eastAsia" w:ascii="Times New Roman" w:hAnsi="Times New Roman"/>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napToGrid w:val="0"/>
              <w:jc w:val="center"/>
              <w:rPr>
                <w:rFonts w:ascii="Times New Roman" w:hAnsi="Times New Roman"/>
                <w:b/>
                <w:kern w:val="0"/>
                <w:sz w:val="24"/>
                <w:szCs w:val="24"/>
              </w:rPr>
            </w:pPr>
          </w:p>
        </w:tc>
        <w:tc>
          <w:tcPr>
            <w:tcW w:w="6949" w:type="dxa"/>
            <w:gridSpan w:val="2"/>
          </w:tcPr>
          <w:p>
            <w:pPr>
              <w:snapToGrid w:val="0"/>
              <w:rPr>
                <w:rFonts w:ascii="Times New Roman" w:hAnsi="Times New Roman"/>
                <w:kern w:val="0"/>
                <w:sz w:val="24"/>
                <w:szCs w:val="24"/>
              </w:rPr>
            </w:pPr>
            <w:r>
              <w:rPr>
                <w:rFonts w:ascii="Times New Roman" w:hAnsi="Times New Roman"/>
                <w:sz w:val="24"/>
                <w:szCs w:val="24"/>
              </w:rPr>
              <w:sym w:font="Wingdings" w:char="F0FE"/>
            </w:r>
            <w:r>
              <w:rPr>
                <w:rFonts w:ascii="Times New Roman" w:hAnsi="Times New Roman"/>
                <w:kern w:val="0"/>
                <w:sz w:val="24"/>
                <w:szCs w:val="24"/>
              </w:rPr>
              <w:t>2.存在上下游关系的参与集中的经营者，在上下游市场所占的市场份额均小于25%</w:t>
            </w:r>
            <w:r>
              <w:rPr>
                <w:rFonts w:hint="eastAsia" w:ascii="Times New Roman" w:hAnsi="Times New Roman"/>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napToGrid w:val="0"/>
              <w:jc w:val="center"/>
              <w:rPr>
                <w:rFonts w:ascii="Times New Roman" w:hAnsi="Times New Roman"/>
                <w:b/>
                <w:kern w:val="0"/>
                <w:sz w:val="24"/>
                <w:szCs w:val="24"/>
              </w:rPr>
            </w:pPr>
          </w:p>
        </w:tc>
        <w:tc>
          <w:tcPr>
            <w:tcW w:w="6949" w:type="dxa"/>
            <w:gridSpan w:val="2"/>
          </w:tcPr>
          <w:p>
            <w:pPr>
              <w:snapToGrid w:val="0"/>
              <w:rPr>
                <w:rFonts w:ascii="Times New Roman" w:hAnsi="Times New Roman"/>
                <w:kern w:val="0"/>
                <w:sz w:val="24"/>
                <w:szCs w:val="24"/>
              </w:rPr>
            </w:pPr>
            <w:r>
              <w:rPr>
                <w:rFonts w:hint="eastAsia" w:ascii="Times New Roman" w:hAnsi="Times New Roman"/>
                <w:color w:val="333333"/>
                <w:kern w:val="0"/>
                <w:sz w:val="24"/>
                <w:szCs w:val="24"/>
              </w:rPr>
              <w:t>□</w:t>
            </w:r>
            <w:r>
              <w:rPr>
                <w:rFonts w:ascii="Times New Roman" w:hAnsi="Times New Roman"/>
                <w:kern w:val="0"/>
                <w:sz w:val="24"/>
                <w:szCs w:val="24"/>
              </w:rPr>
              <w:t>3.不在同一相关市场、也不存在上下游关系的参与集中的经营者，在与交易有关的每个市场所占的份额均小于25%</w:t>
            </w:r>
            <w:r>
              <w:rPr>
                <w:rFonts w:hint="eastAsia" w:ascii="Times New Roman" w:hAnsi="Times New Roman"/>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7" w:hRule="atLeast"/>
        </w:trPr>
        <w:tc>
          <w:tcPr>
            <w:tcW w:w="1809" w:type="dxa"/>
            <w:vMerge w:val="continue"/>
            <w:shd w:val="clear" w:color="auto" w:fill="D9D9D9"/>
            <w:vAlign w:val="center"/>
          </w:tcPr>
          <w:p>
            <w:pPr>
              <w:snapToGrid w:val="0"/>
              <w:jc w:val="center"/>
              <w:rPr>
                <w:rFonts w:ascii="Times New Roman" w:hAnsi="Times New Roman"/>
                <w:b/>
                <w:kern w:val="0"/>
                <w:sz w:val="24"/>
                <w:szCs w:val="24"/>
              </w:rPr>
            </w:pPr>
          </w:p>
        </w:tc>
        <w:tc>
          <w:tcPr>
            <w:tcW w:w="6949" w:type="dxa"/>
            <w:gridSpan w:val="2"/>
          </w:tcPr>
          <w:p>
            <w:pPr>
              <w:snapToGrid w:val="0"/>
              <w:rPr>
                <w:rFonts w:ascii="Times New Roman" w:hAnsi="Times New Roman"/>
                <w:kern w:val="0"/>
                <w:sz w:val="24"/>
                <w:szCs w:val="24"/>
              </w:rPr>
            </w:pPr>
            <w:r>
              <w:rPr>
                <w:rFonts w:hint="eastAsia" w:ascii="Times New Roman" w:hAnsi="Times New Roman"/>
                <w:color w:val="333333"/>
                <w:kern w:val="0"/>
                <w:sz w:val="24"/>
                <w:szCs w:val="24"/>
              </w:rPr>
              <w:t>□</w:t>
            </w:r>
            <w:r>
              <w:rPr>
                <w:rFonts w:ascii="Times New Roman" w:hAnsi="Times New Roman"/>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napToGrid w:val="0"/>
              <w:jc w:val="center"/>
              <w:rPr>
                <w:rFonts w:ascii="Times New Roman" w:hAnsi="Times New Roman"/>
                <w:b/>
                <w:kern w:val="0"/>
                <w:sz w:val="24"/>
                <w:szCs w:val="24"/>
              </w:rPr>
            </w:pPr>
          </w:p>
        </w:tc>
        <w:tc>
          <w:tcPr>
            <w:tcW w:w="6949" w:type="dxa"/>
            <w:gridSpan w:val="2"/>
          </w:tcPr>
          <w:p>
            <w:pPr>
              <w:snapToGrid w:val="0"/>
              <w:rPr>
                <w:rFonts w:ascii="Times New Roman" w:hAnsi="Times New Roman"/>
                <w:kern w:val="0"/>
                <w:sz w:val="24"/>
                <w:szCs w:val="24"/>
              </w:rPr>
            </w:pPr>
            <w:r>
              <w:rPr>
                <w:rFonts w:hint="eastAsia" w:ascii="Times New Roman" w:hAnsi="Times New Roman"/>
                <w:color w:val="333333"/>
                <w:kern w:val="0"/>
                <w:sz w:val="24"/>
                <w:szCs w:val="24"/>
              </w:rPr>
              <w:t>□</w:t>
            </w:r>
            <w:r>
              <w:rPr>
                <w:rFonts w:ascii="Times New Roman" w:hAnsi="Times New Roman"/>
                <w:kern w:val="0"/>
                <w:sz w:val="24"/>
                <w:szCs w:val="24"/>
              </w:rPr>
              <w:t>5.</w:t>
            </w:r>
            <w:r>
              <w:rPr>
                <w:rFonts w:hint="eastAsia" w:ascii="Times New Roman" w:hAnsi="Times New Roman"/>
                <w:kern w:val="0"/>
                <w:sz w:val="24"/>
                <w:szCs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napToGrid w:val="0"/>
              <w:jc w:val="center"/>
              <w:rPr>
                <w:rFonts w:ascii="Times New Roman" w:hAnsi="Times New Roman"/>
                <w:b/>
                <w:kern w:val="0"/>
                <w:sz w:val="24"/>
                <w:szCs w:val="24"/>
              </w:rPr>
            </w:pPr>
          </w:p>
        </w:tc>
        <w:tc>
          <w:tcPr>
            <w:tcW w:w="6949" w:type="dxa"/>
            <w:gridSpan w:val="2"/>
          </w:tcPr>
          <w:p>
            <w:pPr>
              <w:snapToGrid w:val="0"/>
              <w:rPr>
                <w:rFonts w:ascii="Times New Roman" w:hAnsi="Times New Roman"/>
                <w:kern w:val="0"/>
                <w:sz w:val="24"/>
                <w:szCs w:val="24"/>
              </w:rPr>
            </w:pPr>
            <w:r>
              <w:rPr>
                <w:rFonts w:ascii="Times New Roman" w:hAnsi="Times New Roman"/>
                <w:sz w:val="24"/>
                <w:szCs w:val="24"/>
              </w:rPr>
              <w:sym w:font="Wingdings" w:char="F0FE"/>
            </w:r>
            <w:r>
              <w:rPr>
                <w:rFonts w:ascii="Times New Roman" w:hAnsi="Times New Roman"/>
                <w:kern w:val="0"/>
                <w:sz w:val="24"/>
                <w:szCs w:val="24"/>
              </w:rPr>
              <w:t>6.</w:t>
            </w:r>
            <w:r>
              <w:rPr>
                <w:rFonts w:hint="eastAsia" w:ascii="Times New Roman" w:hAnsi="Times New Roman"/>
                <w:kern w:val="0"/>
                <w:sz w:val="24"/>
                <w:szCs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napToGrid w:val="0"/>
              <w:jc w:val="center"/>
              <w:rPr>
                <w:rFonts w:ascii="Times New Roman" w:hAnsi="Times New Roman"/>
                <w:b/>
                <w:kern w:val="0"/>
                <w:sz w:val="24"/>
                <w:szCs w:val="24"/>
              </w:rPr>
            </w:pPr>
            <w:r>
              <w:rPr>
                <w:rFonts w:ascii="Times New Roman" w:hAnsi="Times New Roman"/>
                <w:b/>
                <w:kern w:val="0"/>
                <w:sz w:val="24"/>
                <w:szCs w:val="24"/>
              </w:rPr>
              <w:t>备注</w:t>
            </w:r>
          </w:p>
        </w:tc>
        <w:tc>
          <w:tcPr>
            <w:tcW w:w="6949" w:type="dxa"/>
            <w:gridSpan w:val="2"/>
          </w:tcPr>
          <w:p>
            <w:pPr>
              <w:rPr>
                <w:rFonts w:ascii="Times New Roman" w:hAnsi="Times New Roman"/>
                <w:sz w:val="24"/>
                <w:szCs w:val="24"/>
              </w:rPr>
            </w:pPr>
            <w:r>
              <w:rPr>
                <w:rFonts w:hint="eastAsia" w:ascii="Times New Roman" w:hAnsi="Times New Roman"/>
                <w:b/>
                <w:bCs/>
                <w:sz w:val="24"/>
                <w:szCs w:val="24"/>
              </w:rPr>
              <w:t>相关产品市场</w:t>
            </w:r>
            <w:r>
              <w:rPr>
                <w:rFonts w:hint="eastAsia" w:ascii="Times New Roman" w:hAnsi="Times New Roman"/>
                <w:sz w:val="24"/>
                <w:szCs w:val="24"/>
              </w:rPr>
              <w:t>：</w:t>
            </w:r>
          </w:p>
          <w:p>
            <w:pPr>
              <w:rPr>
                <w:rFonts w:ascii="Times New Roman" w:hAnsi="Times New Roman"/>
                <w:sz w:val="24"/>
                <w:szCs w:val="24"/>
              </w:rPr>
            </w:pPr>
            <w:r>
              <w:rPr>
                <w:rFonts w:ascii="Times New Roman" w:hAnsi="Times New Roman"/>
                <w:sz w:val="24"/>
                <w:szCs w:val="24"/>
              </w:rPr>
              <w:t xml:space="preserve">1. </w:t>
            </w:r>
            <w:r>
              <w:rPr>
                <w:rFonts w:hint="eastAsia" w:ascii="Times New Roman" w:hAnsi="Times New Roman"/>
                <w:bCs/>
                <w:sz w:val="24"/>
                <w:szCs w:val="24"/>
              </w:rPr>
              <w:t>光伏电站开发和运营市场；</w:t>
            </w:r>
          </w:p>
          <w:p>
            <w:pPr>
              <w:rPr>
                <w:rFonts w:ascii="Times New Roman" w:hAnsi="Times New Roman"/>
                <w:sz w:val="24"/>
                <w:szCs w:val="24"/>
              </w:rPr>
            </w:pPr>
            <w:r>
              <w:rPr>
                <w:rFonts w:ascii="Times New Roman" w:hAnsi="Times New Roman"/>
                <w:sz w:val="24"/>
                <w:szCs w:val="24"/>
              </w:rPr>
              <w:t xml:space="preserve">2. </w:t>
            </w:r>
            <w:r>
              <w:rPr>
                <w:rFonts w:hint="eastAsia" w:ascii="Times New Roman" w:hAnsi="Times New Roman"/>
                <w:kern w:val="0"/>
                <w:sz w:val="24"/>
                <w:szCs w:val="24"/>
              </w:rPr>
              <w:t>晶体硅光伏组件市场。</w:t>
            </w:r>
          </w:p>
          <w:p>
            <w:pPr>
              <w:rPr>
                <w:rFonts w:ascii="Times New Roman" w:hAnsi="Times New Roman"/>
                <w:b/>
                <w:bCs/>
                <w:sz w:val="24"/>
                <w:szCs w:val="24"/>
              </w:rPr>
            </w:pPr>
          </w:p>
          <w:p>
            <w:pPr>
              <w:rPr>
                <w:rFonts w:ascii="Times New Roman" w:hAnsi="Times New Roman"/>
                <w:sz w:val="24"/>
                <w:szCs w:val="24"/>
              </w:rPr>
            </w:pPr>
            <w:r>
              <w:rPr>
                <w:rFonts w:hint="eastAsia" w:ascii="Times New Roman" w:hAnsi="Times New Roman"/>
                <w:b/>
                <w:bCs/>
                <w:sz w:val="24"/>
                <w:szCs w:val="24"/>
              </w:rPr>
              <w:t>相关地域市场</w:t>
            </w:r>
            <w:r>
              <w:rPr>
                <w:rFonts w:hint="eastAsia" w:ascii="Times New Roman" w:hAnsi="Times New Roman"/>
                <w:sz w:val="24"/>
                <w:szCs w:val="24"/>
              </w:rPr>
              <w:t>：</w:t>
            </w:r>
          </w:p>
          <w:p>
            <w:pPr>
              <w:rPr>
                <w:rFonts w:ascii="Times New Roman" w:hAnsi="Times New Roman"/>
                <w:sz w:val="24"/>
                <w:szCs w:val="24"/>
              </w:rPr>
            </w:pPr>
            <w:r>
              <w:rPr>
                <w:rFonts w:ascii="Times New Roman" w:hAnsi="Times New Roman"/>
                <w:sz w:val="24"/>
                <w:szCs w:val="24"/>
              </w:rPr>
              <w:t xml:space="preserve">1. </w:t>
            </w:r>
            <w:r>
              <w:rPr>
                <w:rFonts w:hint="eastAsia" w:ascii="Times New Roman" w:hAnsi="Times New Roman"/>
                <w:sz w:val="24"/>
                <w:szCs w:val="24"/>
              </w:rPr>
              <w:t>中国市场（</w:t>
            </w:r>
            <w:r>
              <w:rPr>
                <w:rFonts w:hint="eastAsia" w:ascii="Times New Roman" w:hAnsi="Times New Roman"/>
                <w:bCs/>
                <w:sz w:val="24"/>
                <w:szCs w:val="24"/>
              </w:rPr>
              <w:t>光伏电站开发和运营市场</w:t>
            </w:r>
            <w:r>
              <w:rPr>
                <w:rFonts w:hint="eastAsia" w:ascii="Times New Roman" w:hAnsi="Times New Roman"/>
                <w:sz w:val="24"/>
                <w:szCs w:val="24"/>
              </w:rPr>
              <w:t>）；</w:t>
            </w:r>
          </w:p>
          <w:p>
            <w:pPr>
              <w:rPr>
                <w:rFonts w:ascii="Times New Roman" w:hAnsi="Times New Roman"/>
                <w:sz w:val="24"/>
                <w:szCs w:val="24"/>
              </w:rPr>
            </w:pPr>
            <w:r>
              <w:rPr>
                <w:rFonts w:ascii="Times New Roman" w:hAnsi="Times New Roman"/>
                <w:sz w:val="24"/>
                <w:szCs w:val="24"/>
              </w:rPr>
              <w:t xml:space="preserve">2. </w:t>
            </w:r>
            <w:r>
              <w:rPr>
                <w:rFonts w:hint="eastAsia" w:ascii="Times New Roman" w:hAnsi="Times New Roman"/>
                <w:sz w:val="24"/>
                <w:szCs w:val="24"/>
              </w:rPr>
              <w:t>全球市场（</w:t>
            </w:r>
            <w:r>
              <w:rPr>
                <w:rFonts w:hint="eastAsia" w:ascii="Times New Roman" w:hAnsi="Times New Roman"/>
                <w:kern w:val="0"/>
                <w:sz w:val="24"/>
                <w:szCs w:val="24"/>
              </w:rPr>
              <w:t>晶体硅光伏组件市场</w:t>
            </w:r>
            <w:r>
              <w:rPr>
                <w:rFonts w:hint="eastAsia" w:ascii="Times New Roman" w:hAnsi="Times New Roman"/>
                <w:sz w:val="24"/>
                <w:szCs w:val="24"/>
              </w:rPr>
              <w:t>）。</w:t>
            </w:r>
          </w:p>
          <w:p>
            <w:pPr>
              <w:rPr>
                <w:rFonts w:ascii="Times New Roman" w:hAnsi="Times New Roman"/>
                <w:sz w:val="24"/>
                <w:szCs w:val="24"/>
              </w:rPr>
            </w:pPr>
          </w:p>
          <w:p>
            <w:pPr>
              <w:rPr>
                <w:rFonts w:ascii="Times New Roman" w:hAnsi="Times New Roman"/>
                <w:sz w:val="24"/>
                <w:szCs w:val="24"/>
              </w:rPr>
            </w:pPr>
            <w:r>
              <w:rPr>
                <w:rFonts w:hint="eastAsia" w:ascii="Times New Roman" w:hAnsi="Times New Roman"/>
                <w:b/>
                <w:bCs/>
                <w:sz w:val="24"/>
                <w:szCs w:val="24"/>
              </w:rPr>
              <w:t>市场份额</w:t>
            </w:r>
            <w:r>
              <w:rPr>
                <w:rFonts w:hint="eastAsia" w:ascii="Times New Roman" w:hAnsi="Times New Roman"/>
                <w:sz w:val="24"/>
                <w:szCs w:val="24"/>
              </w:rPr>
              <w:t>：</w:t>
            </w:r>
          </w:p>
          <w:p>
            <w:pPr>
              <w:rPr>
                <w:rFonts w:ascii="Times New Roman" w:hAnsi="Times New Roman"/>
                <w:sz w:val="24"/>
                <w:szCs w:val="24"/>
              </w:rPr>
            </w:pPr>
            <w:r>
              <w:rPr>
                <w:rFonts w:ascii="Times New Roman" w:hAnsi="Times New Roman"/>
                <w:b/>
                <w:bCs/>
                <w:sz w:val="24"/>
                <w:szCs w:val="24"/>
              </w:rPr>
              <w:t xml:space="preserve">1. </w:t>
            </w:r>
            <w:r>
              <w:rPr>
                <w:rFonts w:hint="eastAsia" w:ascii="Times New Roman" w:hAnsi="Times New Roman"/>
                <w:b/>
                <w:bCs/>
                <w:sz w:val="24"/>
                <w:szCs w:val="24"/>
              </w:rPr>
              <w:t>基于横向重叠的相关市场</w:t>
            </w:r>
          </w:p>
          <w:tbl>
            <w:tblPr>
              <w:tblStyle w:val="8"/>
              <w:tblW w:w="6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1696"/>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6" w:type="dxa"/>
                  <w:shd w:val="clear" w:color="auto" w:fill="D8D8D8" w:themeFill="background1" w:themeFillShade="D9"/>
                </w:tcPr>
                <w:p>
                  <w:pPr>
                    <w:jc w:val="center"/>
                    <w:rPr>
                      <w:rFonts w:ascii="Times New Roman" w:hAnsi="Times New Roman"/>
                      <w:b/>
                      <w:bCs/>
                      <w:sz w:val="24"/>
                      <w:szCs w:val="24"/>
                    </w:rPr>
                  </w:pPr>
                  <w:r>
                    <w:rPr>
                      <w:rFonts w:hint="eastAsia" w:ascii="Times New Roman" w:hAnsi="Times New Roman"/>
                      <w:b/>
                      <w:bCs/>
                      <w:sz w:val="24"/>
                      <w:szCs w:val="24"/>
                    </w:rPr>
                    <w:t>相关产品市场</w:t>
                  </w:r>
                </w:p>
              </w:tc>
              <w:tc>
                <w:tcPr>
                  <w:tcW w:w="1696" w:type="dxa"/>
                  <w:shd w:val="clear" w:color="auto" w:fill="D8D8D8" w:themeFill="background1" w:themeFillShade="D9"/>
                </w:tcPr>
                <w:p>
                  <w:pPr>
                    <w:jc w:val="center"/>
                    <w:rPr>
                      <w:rFonts w:ascii="Times New Roman" w:hAnsi="Times New Roman"/>
                      <w:b/>
                      <w:bCs/>
                      <w:sz w:val="24"/>
                      <w:szCs w:val="24"/>
                    </w:rPr>
                  </w:pPr>
                  <w:r>
                    <w:rPr>
                      <w:rFonts w:hint="eastAsia" w:ascii="Times New Roman" w:hAnsi="Times New Roman"/>
                      <w:b/>
                      <w:bCs/>
                      <w:sz w:val="24"/>
                      <w:szCs w:val="24"/>
                    </w:rPr>
                    <w:t>相关地域市场</w:t>
                  </w:r>
                </w:p>
              </w:tc>
              <w:tc>
                <w:tcPr>
                  <w:tcW w:w="2841" w:type="dxa"/>
                  <w:shd w:val="clear" w:color="auto" w:fill="D8D8D8" w:themeFill="background1" w:themeFillShade="D9"/>
                </w:tcPr>
                <w:p>
                  <w:pPr>
                    <w:jc w:val="center"/>
                    <w:rPr>
                      <w:rFonts w:ascii="Times New Roman" w:hAnsi="Times New Roman"/>
                      <w:b/>
                      <w:bCs/>
                      <w:sz w:val="24"/>
                      <w:szCs w:val="24"/>
                    </w:rPr>
                  </w:pPr>
                  <w:r>
                    <w:rPr>
                      <w:rFonts w:hint="eastAsia" w:ascii="Times New Roman" w:hAnsi="Times New Roman"/>
                      <w:b/>
                      <w:bCs/>
                      <w:sz w:val="24"/>
                      <w:szCs w:val="24"/>
                    </w:rPr>
                    <w:t>集中方市场份额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6" w:type="dxa"/>
                </w:tcPr>
                <w:p>
                  <w:pPr>
                    <w:jc w:val="left"/>
                    <w:rPr>
                      <w:rFonts w:ascii="Times New Roman" w:hAnsi="Times New Roman"/>
                      <w:bCs/>
                      <w:sz w:val="24"/>
                      <w:szCs w:val="24"/>
                    </w:rPr>
                  </w:pPr>
                  <w:r>
                    <w:rPr>
                      <w:rFonts w:hint="eastAsia" w:ascii="Times New Roman" w:hAnsi="Times New Roman"/>
                      <w:bCs/>
                      <w:sz w:val="24"/>
                      <w:szCs w:val="24"/>
                    </w:rPr>
                    <w:t>光伏电站</w:t>
                  </w:r>
                  <w:bookmarkStart w:id="0" w:name="_GoBack"/>
                  <w:bookmarkEnd w:id="0"/>
                  <w:r>
                    <w:rPr>
                      <w:rFonts w:hint="eastAsia" w:ascii="Times New Roman" w:hAnsi="Times New Roman"/>
                      <w:bCs/>
                      <w:sz w:val="24"/>
                      <w:szCs w:val="24"/>
                    </w:rPr>
                    <w:t>开发和运营市场</w:t>
                  </w:r>
                </w:p>
              </w:tc>
              <w:tc>
                <w:tcPr>
                  <w:tcW w:w="1696" w:type="dxa"/>
                </w:tcPr>
                <w:p>
                  <w:pPr>
                    <w:jc w:val="center"/>
                    <w:rPr>
                      <w:rFonts w:ascii="Times New Roman" w:hAnsi="Times New Roman"/>
                      <w:bCs/>
                      <w:sz w:val="24"/>
                      <w:szCs w:val="24"/>
                    </w:rPr>
                  </w:pPr>
                  <w:r>
                    <w:rPr>
                      <w:rFonts w:hint="eastAsia" w:ascii="Times New Roman" w:hAnsi="Times New Roman"/>
                      <w:bCs/>
                      <w:sz w:val="24"/>
                      <w:szCs w:val="24"/>
                    </w:rPr>
                    <w:t>中国</w:t>
                  </w:r>
                </w:p>
              </w:tc>
              <w:tc>
                <w:tcPr>
                  <w:tcW w:w="2841" w:type="dxa"/>
                </w:tcPr>
                <w:p>
                  <w:pPr>
                    <w:pStyle w:val="12"/>
                    <w:numPr>
                      <w:ilvl w:val="0"/>
                      <w:numId w:val="1"/>
                    </w:numPr>
                    <w:ind w:firstLineChars="0"/>
                    <w:rPr>
                      <w:sz w:val="24"/>
                      <w:szCs w:val="24"/>
                    </w:rPr>
                  </w:pPr>
                  <w:r>
                    <w:rPr>
                      <w:rFonts w:hint="eastAsia" w:eastAsia="宋体"/>
                      <w:sz w:val="24"/>
                      <w:szCs w:val="24"/>
                    </w:rPr>
                    <w:t>内蒙古中环（及其关联实体）：＜</w:t>
                  </w:r>
                  <w:r>
                    <w:rPr>
                      <w:rFonts w:eastAsia="宋体"/>
                      <w:sz w:val="24"/>
                      <w:szCs w:val="24"/>
                    </w:rPr>
                    <w:t>1%</w:t>
                  </w:r>
                </w:p>
                <w:p>
                  <w:pPr>
                    <w:pStyle w:val="12"/>
                    <w:numPr>
                      <w:ilvl w:val="0"/>
                      <w:numId w:val="1"/>
                    </w:numPr>
                    <w:ind w:firstLineChars="0"/>
                    <w:rPr>
                      <w:sz w:val="24"/>
                      <w:szCs w:val="24"/>
                    </w:rPr>
                  </w:pPr>
                  <w:r>
                    <w:rPr>
                      <w:rFonts w:hint="eastAsia" w:eastAsia="宋体"/>
                      <w:sz w:val="24"/>
                      <w:szCs w:val="24"/>
                    </w:rPr>
                    <w:t>苹果（及其关联实体）：＜</w:t>
                  </w:r>
                  <w:r>
                    <w:rPr>
                      <w:rFonts w:eastAsia="宋体"/>
                      <w:sz w:val="24"/>
                      <w:szCs w:val="24"/>
                    </w:rPr>
                    <w:t>1%</w:t>
                  </w:r>
                </w:p>
                <w:p>
                  <w:pPr>
                    <w:pStyle w:val="12"/>
                    <w:numPr>
                      <w:ilvl w:val="0"/>
                      <w:numId w:val="1"/>
                    </w:numPr>
                    <w:ind w:firstLineChars="0"/>
                    <w:rPr>
                      <w:sz w:val="24"/>
                      <w:szCs w:val="24"/>
                    </w:rPr>
                  </w:pPr>
                  <w:r>
                    <w:rPr>
                      <w:rFonts w:hint="eastAsia" w:eastAsia="宋体"/>
                      <w:sz w:val="24"/>
                      <w:szCs w:val="24"/>
                    </w:rPr>
                    <w:t>环聚新能源：＜</w:t>
                  </w:r>
                  <w:r>
                    <w:rPr>
                      <w:rFonts w:eastAsia="宋体"/>
                      <w:sz w:val="24"/>
                      <w:szCs w:val="24"/>
                    </w:rPr>
                    <w:t>1%</w:t>
                  </w:r>
                </w:p>
              </w:tc>
            </w:tr>
          </w:tbl>
          <w:p>
            <w:pPr>
              <w:rPr>
                <w:rFonts w:ascii="Times New Roman" w:hAnsi="Times New Roman"/>
                <w:sz w:val="24"/>
                <w:szCs w:val="24"/>
              </w:rPr>
            </w:pPr>
          </w:p>
          <w:p>
            <w:pPr>
              <w:rPr>
                <w:rFonts w:ascii="Times New Roman" w:hAnsi="Times New Roman"/>
                <w:sz w:val="24"/>
                <w:szCs w:val="24"/>
              </w:rPr>
            </w:pPr>
            <w:r>
              <w:rPr>
                <w:rFonts w:ascii="Times New Roman" w:hAnsi="Times New Roman"/>
                <w:b/>
                <w:bCs/>
                <w:sz w:val="24"/>
                <w:szCs w:val="24"/>
              </w:rPr>
              <w:t xml:space="preserve">2. </w:t>
            </w:r>
            <w:r>
              <w:rPr>
                <w:rFonts w:hint="eastAsia" w:ascii="Times New Roman" w:hAnsi="Times New Roman"/>
                <w:b/>
                <w:bCs/>
                <w:sz w:val="24"/>
                <w:szCs w:val="24"/>
              </w:rPr>
              <w:t>基于纵向关系的相关市场</w:t>
            </w:r>
          </w:p>
          <w:tbl>
            <w:tblPr>
              <w:tblStyle w:val="8"/>
              <w:tblW w:w="6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3"/>
              <w:gridCol w:w="1709"/>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73" w:type="dxa"/>
                  <w:shd w:val="clear" w:color="auto" w:fill="D8D8D8" w:themeFill="background1" w:themeFillShade="D9"/>
                </w:tcPr>
                <w:p>
                  <w:pPr>
                    <w:rPr>
                      <w:rFonts w:ascii="Times New Roman" w:hAnsi="Times New Roman"/>
                      <w:b/>
                      <w:bCs/>
                      <w:sz w:val="24"/>
                      <w:szCs w:val="24"/>
                    </w:rPr>
                  </w:pPr>
                  <w:r>
                    <w:rPr>
                      <w:rFonts w:hint="eastAsia" w:ascii="Times New Roman" w:hAnsi="Times New Roman"/>
                      <w:b/>
                      <w:bCs/>
                      <w:sz w:val="24"/>
                      <w:szCs w:val="24"/>
                    </w:rPr>
                    <w:t>相关产品市场</w:t>
                  </w:r>
                </w:p>
              </w:tc>
              <w:tc>
                <w:tcPr>
                  <w:tcW w:w="1709" w:type="dxa"/>
                  <w:shd w:val="clear" w:color="auto" w:fill="D8D8D8" w:themeFill="background1" w:themeFillShade="D9"/>
                </w:tcPr>
                <w:p>
                  <w:pPr>
                    <w:rPr>
                      <w:rFonts w:ascii="Times New Roman" w:hAnsi="Times New Roman"/>
                      <w:b/>
                      <w:bCs/>
                      <w:sz w:val="24"/>
                      <w:szCs w:val="24"/>
                    </w:rPr>
                  </w:pPr>
                  <w:r>
                    <w:rPr>
                      <w:rFonts w:hint="eastAsia" w:ascii="Times New Roman" w:hAnsi="Times New Roman"/>
                      <w:b/>
                      <w:bCs/>
                      <w:sz w:val="24"/>
                      <w:szCs w:val="24"/>
                    </w:rPr>
                    <w:t>相关地域市场</w:t>
                  </w:r>
                </w:p>
              </w:tc>
              <w:tc>
                <w:tcPr>
                  <w:tcW w:w="2841" w:type="dxa"/>
                  <w:shd w:val="clear" w:color="auto" w:fill="D8D8D8" w:themeFill="background1" w:themeFillShade="D9"/>
                </w:tcPr>
                <w:p>
                  <w:pPr>
                    <w:rPr>
                      <w:rFonts w:ascii="Times New Roman" w:hAnsi="Times New Roman"/>
                      <w:b/>
                      <w:bCs/>
                      <w:sz w:val="24"/>
                      <w:szCs w:val="24"/>
                    </w:rPr>
                  </w:pPr>
                  <w:r>
                    <w:rPr>
                      <w:rFonts w:hint="eastAsia" w:ascii="Times New Roman" w:hAnsi="Times New Roman"/>
                      <w:b/>
                      <w:bCs/>
                      <w:sz w:val="24"/>
                      <w:szCs w:val="24"/>
                    </w:rPr>
                    <w:t>集中方市场份额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73" w:type="dxa"/>
                </w:tcPr>
                <w:p>
                  <w:pPr>
                    <w:rPr>
                      <w:rFonts w:ascii="Times New Roman" w:hAnsi="Times New Roman"/>
                      <w:sz w:val="24"/>
                      <w:szCs w:val="24"/>
                    </w:rPr>
                  </w:pPr>
                  <w:r>
                    <w:rPr>
                      <w:rFonts w:hint="eastAsia" w:ascii="Times New Roman" w:hAnsi="Times New Roman"/>
                      <w:kern w:val="0"/>
                      <w:sz w:val="24"/>
                      <w:szCs w:val="24"/>
                    </w:rPr>
                    <w:t>晶体硅光伏组件市场</w:t>
                  </w:r>
                </w:p>
              </w:tc>
              <w:tc>
                <w:tcPr>
                  <w:tcW w:w="1709" w:type="dxa"/>
                </w:tcPr>
                <w:p>
                  <w:pPr>
                    <w:jc w:val="center"/>
                    <w:rPr>
                      <w:rFonts w:ascii="Times New Roman" w:hAnsi="Times New Roman"/>
                      <w:bCs/>
                      <w:sz w:val="24"/>
                      <w:szCs w:val="24"/>
                    </w:rPr>
                  </w:pPr>
                  <w:r>
                    <w:rPr>
                      <w:rFonts w:hint="eastAsia" w:ascii="Times New Roman" w:hAnsi="Times New Roman"/>
                      <w:bCs/>
                      <w:sz w:val="24"/>
                      <w:szCs w:val="24"/>
                    </w:rPr>
                    <w:t>全球</w:t>
                  </w:r>
                </w:p>
              </w:tc>
              <w:tc>
                <w:tcPr>
                  <w:tcW w:w="2841" w:type="dxa"/>
                </w:tcPr>
                <w:p>
                  <w:pPr>
                    <w:pStyle w:val="12"/>
                    <w:numPr>
                      <w:ilvl w:val="0"/>
                      <w:numId w:val="2"/>
                    </w:numPr>
                    <w:ind w:right="480" w:firstLineChars="0"/>
                  </w:pPr>
                  <w:r>
                    <w:rPr>
                      <w:rFonts w:hint="eastAsia" w:eastAsia="宋体"/>
                      <w:sz w:val="24"/>
                      <w:szCs w:val="24"/>
                    </w:rPr>
                    <w:t>内蒙古中环（及其关联实体）：</w:t>
                  </w:r>
                  <w:r>
                    <w:rPr>
                      <w:rFonts w:eastAsia="宋体"/>
                      <w:sz w:val="24"/>
                      <w:szCs w:val="24"/>
                    </w:rPr>
                    <w:t>[1-5] %</w:t>
                  </w:r>
                </w:p>
              </w:tc>
            </w:tr>
          </w:tbl>
          <w:p>
            <w:pPr>
              <w:widowControl/>
              <w:snapToGrid w:val="0"/>
              <w:spacing w:after="156" w:afterLines="50"/>
              <w:rPr>
                <w:rFonts w:ascii="Times New Roman" w:hAnsi="Times New Roman"/>
                <w:bCs/>
                <w:sz w:val="24"/>
                <w:szCs w:val="24"/>
              </w:rPr>
            </w:pPr>
          </w:p>
        </w:tc>
      </w:tr>
    </w:tbl>
    <w:p>
      <w:pPr>
        <w:spacing w:line="20" w:lineRule="exact"/>
        <w:rPr>
          <w:rFonts w:ascii="Times New Roman" w:hAnsi="Times New Roman"/>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Fonts w:ascii="Times New Roman" w:hAnsi="Times New Roman"/>
      </w:rPr>
      <w:id w:val="-275023100"/>
      <w:docPartObj>
        <w:docPartGallery w:val="autotext"/>
      </w:docPartObj>
    </w:sdtPr>
    <w:sdtEndPr>
      <w:rPr>
        <w:rStyle w:val="6"/>
        <w:rFonts w:ascii="Times New Roman" w:hAnsi="Times New Roman"/>
      </w:rPr>
    </w:sdtEndPr>
    <w:sdtContent>
      <w:p>
        <w:pPr>
          <w:pStyle w:val="3"/>
          <w:framePr w:wrap="around" w:vAnchor="text" w:hAnchor="margin" w:xAlign="center" w:yAlign="inside"/>
          <w:rPr>
            <w:rStyle w:val="6"/>
            <w:rFonts w:ascii="Times New Roman" w:hAnsi="Times New Roman"/>
          </w:rPr>
        </w:pPr>
        <w:r>
          <w:rPr>
            <w:rStyle w:val="6"/>
            <w:rFonts w:ascii="Times New Roman" w:hAnsi="Times New Roman"/>
          </w:rPr>
          <w:fldChar w:fldCharType="begin"/>
        </w:r>
        <w:r>
          <w:rPr>
            <w:rStyle w:val="6"/>
            <w:rFonts w:ascii="Times New Roman" w:hAnsi="Times New Roman"/>
          </w:rPr>
          <w:instrText xml:space="preserve"> PAGE </w:instrText>
        </w:r>
        <w:r>
          <w:rPr>
            <w:rStyle w:val="6"/>
            <w:rFonts w:ascii="Times New Roman" w:hAnsi="Times New Roman"/>
          </w:rPr>
          <w:fldChar w:fldCharType="separate"/>
        </w:r>
        <w:r>
          <w:rPr>
            <w:rStyle w:val="6"/>
            <w:rFonts w:ascii="Times New Roman" w:hAnsi="Times New Roman"/>
          </w:rPr>
          <w:t>1</w:t>
        </w:r>
        <w:r>
          <w:rPr>
            <w:rStyle w:val="6"/>
            <w:rFonts w:ascii="Times New Roman" w:hAnsi="Times New Roman"/>
          </w:rPr>
          <w:fldChar w:fldCharType="end"/>
        </w:r>
      </w:p>
    </w:sdtContent>
  </w:sdt>
  <w:p>
    <w:pPr>
      <w:pStyle w:val="3"/>
      <w:rPr>
        <w:rFonts w:ascii="Times New Roman" w:hAnsi="Times New Roman"/>
      </w:rPr>
    </w:pP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Pr>
      <w:id w:val="1036383314"/>
      <w:docPartObj>
        <w:docPartGallery w:val="autotext"/>
      </w:docPartObj>
    </w:sdtPr>
    <w:sdtEndPr>
      <w:rPr>
        <w:rStyle w:val="6"/>
      </w:rPr>
    </w:sdtEndPr>
    <w:sdtContent>
      <w:p>
        <w:pPr>
          <w:pStyle w:val="3"/>
          <w:framePr w:wrap="around" w:vAnchor="text" w:hAnchor="margin" w:xAlign="center" w:y="1"/>
          <w:rPr>
            <w:rStyle w:val="6"/>
          </w:rPr>
        </w:pPr>
        <w:r>
          <w:rPr>
            <w:rStyle w:val="6"/>
          </w:rPr>
          <w:fldChar w:fldCharType="begin"/>
        </w:r>
        <w:r>
          <w:rPr>
            <w:rStyle w:val="6"/>
          </w:rPr>
          <w:instrText xml:space="preserve"> PAGE </w:instrText>
        </w:r>
        <w:r>
          <w:rPr>
            <w:rStyle w:val="6"/>
          </w:rPr>
          <w:fldChar w:fldCharType="end"/>
        </w:r>
      </w:p>
    </w:sdtContent>
  </w:sdt>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4906"/>
    <w:multiLevelType w:val="multilevel"/>
    <w:tmpl w:val="0249490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7F4D0798"/>
    <w:multiLevelType w:val="multilevel"/>
    <w:tmpl w:val="7F4D079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08A2"/>
    <w:rsid w:val="00015F7E"/>
    <w:rsid w:val="00023448"/>
    <w:rsid w:val="00037065"/>
    <w:rsid w:val="00044820"/>
    <w:rsid w:val="000510C8"/>
    <w:rsid w:val="000805A7"/>
    <w:rsid w:val="0008285B"/>
    <w:rsid w:val="000A1753"/>
    <w:rsid w:val="000B0953"/>
    <w:rsid w:val="000B1EFE"/>
    <w:rsid w:val="000D7EBA"/>
    <w:rsid w:val="001074DB"/>
    <w:rsid w:val="001164CD"/>
    <w:rsid w:val="00116F01"/>
    <w:rsid w:val="001314CA"/>
    <w:rsid w:val="00141AA1"/>
    <w:rsid w:val="00155717"/>
    <w:rsid w:val="00156F76"/>
    <w:rsid w:val="00182C7B"/>
    <w:rsid w:val="001837A3"/>
    <w:rsid w:val="00187D5C"/>
    <w:rsid w:val="00193BC9"/>
    <w:rsid w:val="001D6662"/>
    <w:rsid w:val="001F1F55"/>
    <w:rsid w:val="0021315C"/>
    <w:rsid w:val="0023690F"/>
    <w:rsid w:val="00262C69"/>
    <w:rsid w:val="002665EA"/>
    <w:rsid w:val="002756C0"/>
    <w:rsid w:val="002840F8"/>
    <w:rsid w:val="0028527F"/>
    <w:rsid w:val="00291EF1"/>
    <w:rsid w:val="002B19C8"/>
    <w:rsid w:val="00306520"/>
    <w:rsid w:val="00310D7A"/>
    <w:rsid w:val="00330E53"/>
    <w:rsid w:val="00364ED5"/>
    <w:rsid w:val="00376EF3"/>
    <w:rsid w:val="003928E3"/>
    <w:rsid w:val="003C0AEB"/>
    <w:rsid w:val="003C575D"/>
    <w:rsid w:val="003D13C3"/>
    <w:rsid w:val="003D33C2"/>
    <w:rsid w:val="003D7240"/>
    <w:rsid w:val="003E7483"/>
    <w:rsid w:val="003F0F68"/>
    <w:rsid w:val="00403238"/>
    <w:rsid w:val="00410232"/>
    <w:rsid w:val="004402CC"/>
    <w:rsid w:val="00460715"/>
    <w:rsid w:val="004711C5"/>
    <w:rsid w:val="004958E7"/>
    <w:rsid w:val="004A7AB3"/>
    <w:rsid w:val="004B27C8"/>
    <w:rsid w:val="004C2A4E"/>
    <w:rsid w:val="004C73C2"/>
    <w:rsid w:val="004F173B"/>
    <w:rsid w:val="004F7688"/>
    <w:rsid w:val="00501C72"/>
    <w:rsid w:val="00507846"/>
    <w:rsid w:val="00527F83"/>
    <w:rsid w:val="00546F6E"/>
    <w:rsid w:val="00555877"/>
    <w:rsid w:val="00574E95"/>
    <w:rsid w:val="005A0430"/>
    <w:rsid w:val="005A5BEE"/>
    <w:rsid w:val="005C19BE"/>
    <w:rsid w:val="005C480C"/>
    <w:rsid w:val="005E03E0"/>
    <w:rsid w:val="005F3D2C"/>
    <w:rsid w:val="006064BD"/>
    <w:rsid w:val="00613926"/>
    <w:rsid w:val="00630E72"/>
    <w:rsid w:val="006344D5"/>
    <w:rsid w:val="006467D8"/>
    <w:rsid w:val="00652DFD"/>
    <w:rsid w:val="00655A3B"/>
    <w:rsid w:val="006613CF"/>
    <w:rsid w:val="00661A6A"/>
    <w:rsid w:val="00664EE8"/>
    <w:rsid w:val="006A531B"/>
    <w:rsid w:val="006B3979"/>
    <w:rsid w:val="006D0C1D"/>
    <w:rsid w:val="006E0315"/>
    <w:rsid w:val="006E090A"/>
    <w:rsid w:val="006E7350"/>
    <w:rsid w:val="006F7693"/>
    <w:rsid w:val="00710140"/>
    <w:rsid w:val="007223CC"/>
    <w:rsid w:val="00750E69"/>
    <w:rsid w:val="00770406"/>
    <w:rsid w:val="0079392B"/>
    <w:rsid w:val="007979C0"/>
    <w:rsid w:val="007B0601"/>
    <w:rsid w:val="007B1376"/>
    <w:rsid w:val="007C1F1C"/>
    <w:rsid w:val="007C3E2F"/>
    <w:rsid w:val="007E3AA2"/>
    <w:rsid w:val="007F2275"/>
    <w:rsid w:val="00826D44"/>
    <w:rsid w:val="008549DE"/>
    <w:rsid w:val="00863DD9"/>
    <w:rsid w:val="00867F3F"/>
    <w:rsid w:val="00875D3B"/>
    <w:rsid w:val="008E1316"/>
    <w:rsid w:val="00900674"/>
    <w:rsid w:val="00914C14"/>
    <w:rsid w:val="00915F0F"/>
    <w:rsid w:val="00940FA2"/>
    <w:rsid w:val="009532DF"/>
    <w:rsid w:val="00964B66"/>
    <w:rsid w:val="0097361C"/>
    <w:rsid w:val="00997019"/>
    <w:rsid w:val="009A5029"/>
    <w:rsid w:val="009B2582"/>
    <w:rsid w:val="009D2953"/>
    <w:rsid w:val="009D38D5"/>
    <w:rsid w:val="009F001B"/>
    <w:rsid w:val="00A01E75"/>
    <w:rsid w:val="00A209CF"/>
    <w:rsid w:val="00A3629B"/>
    <w:rsid w:val="00A45A34"/>
    <w:rsid w:val="00A53F26"/>
    <w:rsid w:val="00A62FD3"/>
    <w:rsid w:val="00A859F5"/>
    <w:rsid w:val="00AA0CC5"/>
    <w:rsid w:val="00AD1134"/>
    <w:rsid w:val="00AD4346"/>
    <w:rsid w:val="00AE7500"/>
    <w:rsid w:val="00AF347F"/>
    <w:rsid w:val="00AF73B9"/>
    <w:rsid w:val="00B05F2C"/>
    <w:rsid w:val="00B0718F"/>
    <w:rsid w:val="00B16AB0"/>
    <w:rsid w:val="00B16AFE"/>
    <w:rsid w:val="00B21372"/>
    <w:rsid w:val="00B33424"/>
    <w:rsid w:val="00B42D28"/>
    <w:rsid w:val="00B56D8B"/>
    <w:rsid w:val="00B65DD5"/>
    <w:rsid w:val="00B80621"/>
    <w:rsid w:val="00BA4781"/>
    <w:rsid w:val="00BD10B6"/>
    <w:rsid w:val="00BD2F14"/>
    <w:rsid w:val="00BF0375"/>
    <w:rsid w:val="00C02B30"/>
    <w:rsid w:val="00C07076"/>
    <w:rsid w:val="00C22854"/>
    <w:rsid w:val="00C3103A"/>
    <w:rsid w:val="00C34349"/>
    <w:rsid w:val="00C351AF"/>
    <w:rsid w:val="00C37318"/>
    <w:rsid w:val="00C520E3"/>
    <w:rsid w:val="00C6435F"/>
    <w:rsid w:val="00C7145B"/>
    <w:rsid w:val="00C84AC2"/>
    <w:rsid w:val="00C8621B"/>
    <w:rsid w:val="00CA3050"/>
    <w:rsid w:val="00CB00DF"/>
    <w:rsid w:val="00CB562C"/>
    <w:rsid w:val="00CC217B"/>
    <w:rsid w:val="00CD267A"/>
    <w:rsid w:val="00CF265C"/>
    <w:rsid w:val="00D73C72"/>
    <w:rsid w:val="00D90D2F"/>
    <w:rsid w:val="00DB5728"/>
    <w:rsid w:val="00E0592B"/>
    <w:rsid w:val="00E152D6"/>
    <w:rsid w:val="00E31738"/>
    <w:rsid w:val="00E4031B"/>
    <w:rsid w:val="00E53A88"/>
    <w:rsid w:val="00E550B3"/>
    <w:rsid w:val="00E86786"/>
    <w:rsid w:val="00E91FC9"/>
    <w:rsid w:val="00E9767B"/>
    <w:rsid w:val="00ED18BB"/>
    <w:rsid w:val="00ED2F80"/>
    <w:rsid w:val="00ED6CCB"/>
    <w:rsid w:val="00EE2D3F"/>
    <w:rsid w:val="00EE396D"/>
    <w:rsid w:val="00F1624E"/>
    <w:rsid w:val="00F32631"/>
    <w:rsid w:val="00F32F8A"/>
    <w:rsid w:val="00F42A51"/>
    <w:rsid w:val="00F810AA"/>
    <w:rsid w:val="00F87342"/>
    <w:rsid w:val="00FB43EC"/>
    <w:rsid w:val="00FB6B40"/>
    <w:rsid w:val="0A4D324B"/>
    <w:rsid w:val="0C241704"/>
    <w:rsid w:val="0F9C6C52"/>
    <w:rsid w:val="164E0835"/>
    <w:rsid w:val="1DDA3284"/>
    <w:rsid w:val="2DB109AA"/>
    <w:rsid w:val="36562AFF"/>
    <w:rsid w:val="3D6617B1"/>
    <w:rsid w:val="6F695A0A"/>
    <w:rsid w:val="7D0D21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semiHidden/>
    <w:unhideWhenUsed/>
    <w:qFormat/>
    <w:uiPriority w:val="99"/>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9">
    <w:name w:val="Header Char"/>
    <w:basedOn w:val="5"/>
    <w:link w:val="4"/>
    <w:qFormat/>
    <w:uiPriority w:val="99"/>
    <w:rPr>
      <w:rFonts w:ascii="Calibri" w:hAnsi="Calibri" w:eastAsia="宋体" w:cs="Times New Roman"/>
      <w:sz w:val="18"/>
      <w:szCs w:val="18"/>
    </w:rPr>
  </w:style>
  <w:style w:type="character" w:customStyle="1" w:styleId="10">
    <w:name w:val="Footer Char"/>
    <w:basedOn w:val="5"/>
    <w:link w:val="3"/>
    <w:qFormat/>
    <w:uiPriority w:val="99"/>
    <w:rPr>
      <w:rFonts w:ascii="Calibri" w:hAnsi="Calibri" w:eastAsia="宋体" w:cs="Times New Roman"/>
      <w:sz w:val="18"/>
      <w:szCs w:val="18"/>
    </w:rPr>
  </w:style>
  <w:style w:type="character" w:customStyle="1" w:styleId="11">
    <w:name w:val="Balloon Text Char"/>
    <w:basedOn w:val="5"/>
    <w:link w:val="2"/>
    <w:semiHidden/>
    <w:uiPriority w:val="99"/>
    <w:rPr>
      <w:rFonts w:ascii="Calibri" w:hAnsi="Calibri" w:eastAsia="宋体" w:cs="Times New Roman"/>
      <w:sz w:val="18"/>
      <w:szCs w:val="18"/>
    </w:rPr>
  </w:style>
  <w:style w:type="paragraph" w:styleId="12">
    <w:name w:val="List Paragraph"/>
    <w:basedOn w:val="1"/>
    <w:qFormat/>
    <w:uiPriority w:val="34"/>
    <w:pPr>
      <w:ind w:firstLine="420" w:firstLineChars="200"/>
    </w:pPr>
    <w:rPr>
      <w:rFonts w:ascii="Times New Roman" w:hAnsi="Times New Roman" w:eastAsiaTheme="minorEastAsi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162</Words>
  <Characters>926</Characters>
  <Lines>7</Lines>
  <Paragraphs>2</Paragraphs>
  <TotalTime>205</TotalTime>
  <ScaleCrop>false</ScaleCrop>
  <LinksUpToDate>false</LinksUpToDate>
  <CharactersWithSpaces>1086</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2020-08-28T01:18:00Z</dcterms:created>
  <dc:creator>chenmei</dc:creator>
  <cp:lastModifiedBy>陈媚</cp:lastModifiedBy>
  <dcterms:modified xsi:type="dcterms:W3CDTF">2020-09-27T06:05:33Z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