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83849" w14:textId="77777777" w:rsidR="005526A5" w:rsidRDefault="00F53310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附件</w:t>
      </w:r>
      <w:r>
        <w:rPr>
          <w:rFonts w:ascii="Times New Roman" w:hAnsi="Times New Roman" w:hint="eastAsia"/>
          <w:b/>
          <w:szCs w:val="21"/>
        </w:rPr>
        <w:t>2</w:t>
      </w:r>
    </w:p>
    <w:p w14:paraId="148417CC" w14:textId="77777777" w:rsidR="005526A5" w:rsidRDefault="00F53310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2A91A755" w14:textId="77777777" w:rsidR="005526A5" w:rsidRDefault="005526A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0CD2087" w14:textId="77777777" w:rsidR="005526A5" w:rsidRDefault="005526A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01"/>
        <w:gridCol w:w="5248"/>
      </w:tblGrid>
      <w:tr w:rsidR="005526A5" w14:paraId="3B207A5E" w14:textId="77777777">
        <w:tc>
          <w:tcPr>
            <w:tcW w:w="1809" w:type="dxa"/>
            <w:shd w:val="clear" w:color="auto" w:fill="D9D9D9"/>
            <w:vAlign w:val="center"/>
          </w:tcPr>
          <w:p w14:paraId="48659ACF" w14:textId="77777777" w:rsidR="005526A5" w:rsidRDefault="00F5331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CF0C0C7" w14:textId="77777777" w:rsidR="005526A5" w:rsidRDefault="00F53310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上海东浩实业（集团）有限公司收购上海强生控股股份有限公司部分股权案</w:t>
            </w:r>
          </w:p>
        </w:tc>
      </w:tr>
      <w:tr w:rsidR="005526A5" w14:paraId="253A6CC5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8034D86" w14:textId="77777777" w:rsidR="005526A5" w:rsidRDefault="00F5331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61C204AA" w14:textId="77777777" w:rsidR="005526A5" w:rsidRDefault="00F5331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6B39D8AE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本次重大资产重组在上海东浩实业（集团）有限公司（“东浩实业”）、上海强生控股股份有限公司（“强生控股”或“上市公司”）之间进行，由上市公司股份无偿划转、资产置换、发行股份购买资产、募集配套资金四部分组成。交易后，东浩实业将成为强生控股的控股股东，而强生控股将直接持有原东浩实业名下上海外服（集团）有限公司100%股权。</w:t>
            </w:r>
          </w:p>
        </w:tc>
      </w:tr>
      <w:tr w:rsidR="005526A5" w14:paraId="60DDA824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D6B8839" w14:textId="77777777" w:rsidR="005526A5" w:rsidRDefault="00F5331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3155D790" w14:textId="77777777" w:rsidR="005526A5" w:rsidRDefault="00F5331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01" w:type="dxa"/>
          </w:tcPr>
          <w:p w14:paraId="453B7585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1、东浩实业</w:t>
            </w:r>
          </w:p>
        </w:tc>
        <w:tc>
          <w:tcPr>
            <w:tcW w:w="5248" w:type="dxa"/>
          </w:tcPr>
          <w:p w14:paraId="151850BA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东浩实业主要经营业务包括服务贸易，实业投资，国际商务咨询，国内贸易（除专项规定外）等。</w:t>
            </w:r>
          </w:p>
        </w:tc>
      </w:tr>
      <w:tr w:rsidR="005526A5" w14:paraId="2C197497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2884C3D" w14:textId="77777777" w:rsidR="005526A5" w:rsidRDefault="005526A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E18DDD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2、强生控股</w:t>
            </w:r>
          </w:p>
        </w:tc>
        <w:tc>
          <w:tcPr>
            <w:tcW w:w="5248" w:type="dxa"/>
          </w:tcPr>
          <w:p w14:paraId="350C18A0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强生控股是一家以交通运营为主业的上市公司，主要经营业务包括出租汽车运营、汽车租赁、汽车服务、旅游服务、房地产等。</w:t>
            </w:r>
          </w:p>
        </w:tc>
      </w:tr>
      <w:tr w:rsidR="005526A5" w14:paraId="1399302A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79A7CC0" w14:textId="77777777" w:rsidR="005526A5" w:rsidRDefault="00F5331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CB0BEEC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 w:rsidR="005526A5" w14:paraId="46133353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D97938" w14:textId="77777777" w:rsidR="005526A5" w:rsidRDefault="005526A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00C61DE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 w:rsidR="005526A5" w14:paraId="3046C05C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9A4E166" w14:textId="77777777" w:rsidR="005526A5" w:rsidRDefault="005526A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567F59F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√3.不在同一相关市场、也不存在上下游关系的参与集中的经营者，在与交易有关的每个市场所占的份额均小于25%。</w:t>
            </w:r>
          </w:p>
        </w:tc>
      </w:tr>
      <w:tr w:rsidR="005526A5" w14:paraId="2E8B34A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54E5CF8" w14:textId="77777777" w:rsidR="005526A5" w:rsidRDefault="005526A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A515DE0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5526A5" w14:paraId="30CF19E4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D7032E1" w14:textId="77777777" w:rsidR="005526A5" w:rsidRDefault="005526A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45CA267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不在中国境内从事经济活动。</w:t>
            </w:r>
          </w:p>
        </w:tc>
      </w:tr>
      <w:tr w:rsidR="005526A5" w14:paraId="28E7528C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4211CD1" w14:textId="77777777" w:rsidR="005526A5" w:rsidRDefault="005526A5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55B415C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5526A5" w:rsidRPr="00BD451E" w14:paraId="40A56C34" w14:textId="77777777">
        <w:tc>
          <w:tcPr>
            <w:tcW w:w="1809" w:type="dxa"/>
            <w:shd w:val="clear" w:color="auto" w:fill="D9D9D9"/>
            <w:vAlign w:val="center"/>
          </w:tcPr>
          <w:p w14:paraId="4D567C75" w14:textId="77777777" w:rsidR="005526A5" w:rsidRDefault="00F5331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9F165CE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相关产品市场：出租车客运</w:t>
            </w:r>
          </w:p>
          <w:p w14:paraId="0CDB4663" w14:textId="77777777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相关地域市场：上海市</w:t>
            </w:r>
          </w:p>
          <w:p w14:paraId="5328006E" w14:textId="5BD8C8EE" w:rsidR="005526A5" w:rsidRDefault="00F5331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强生控股的市场份额：</w:t>
            </w:r>
            <w:r w:rsidR="00BD45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0</w:t>
            </w:r>
            <w:r w:rsidRPr="00F5331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%</w:t>
            </w:r>
            <w:r w:rsidR="00BD45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-5%</w:t>
            </w:r>
          </w:p>
        </w:tc>
      </w:tr>
    </w:tbl>
    <w:p w14:paraId="2534E47A" w14:textId="77777777" w:rsidR="005526A5" w:rsidRDefault="005526A5"/>
    <w:sectPr w:rsidR="005526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2DD71D" w14:textId="77777777" w:rsidR="00DA1B93" w:rsidRDefault="00DA1B93" w:rsidP="00BD451E">
      <w:r>
        <w:separator/>
      </w:r>
    </w:p>
  </w:endnote>
  <w:endnote w:type="continuationSeparator" w:id="0">
    <w:p w14:paraId="7970F9B3" w14:textId="77777777" w:rsidR="00DA1B93" w:rsidRDefault="00DA1B93" w:rsidP="00BD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B8BD39" w14:textId="77777777" w:rsidR="00DA1B93" w:rsidRDefault="00DA1B93" w:rsidP="00BD451E">
      <w:r>
        <w:separator/>
      </w:r>
    </w:p>
  </w:footnote>
  <w:footnote w:type="continuationSeparator" w:id="0">
    <w:p w14:paraId="318F0802" w14:textId="77777777" w:rsidR="00DA1B93" w:rsidRDefault="00DA1B93" w:rsidP="00BD4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0DF"/>
    <w:rsid w:val="00037065"/>
    <w:rsid w:val="000C677E"/>
    <w:rsid w:val="000D7EBA"/>
    <w:rsid w:val="000F54D2"/>
    <w:rsid w:val="001164CD"/>
    <w:rsid w:val="00155717"/>
    <w:rsid w:val="001837A3"/>
    <w:rsid w:val="00285122"/>
    <w:rsid w:val="00342D4C"/>
    <w:rsid w:val="003603B9"/>
    <w:rsid w:val="003C0AEB"/>
    <w:rsid w:val="004608C3"/>
    <w:rsid w:val="00474018"/>
    <w:rsid w:val="004D4BC8"/>
    <w:rsid w:val="004F7688"/>
    <w:rsid w:val="005526A5"/>
    <w:rsid w:val="006467D8"/>
    <w:rsid w:val="006A531B"/>
    <w:rsid w:val="006F7693"/>
    <w:rsid w:val="00710140"/>
    <w:rsid w:val="00723D06"/>
    <w:rsid w:val="00776F17"/>
    <w:rsid w:val="007F2275"/>
    <w:rsid w:val="008D740A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BD451E"/>
    <w:rsid w:val="00BE5817"/>
    <w:rsid w:val="00C07076"/>
    <w:rsid w:val="00C109BE"/>
    <w:rsid w:val="00C43F15"/>
    <w:rsid w:val="00C94574"/>
    <w:rsid w:val="00CB00DF"/>
    <w:rsid w:val="00CE0EC3"/>
    <w:rsid w:val="00D73C72"/>
    <w:rsid w:val="00DA1B93"/>
    <w:rsid w:val="00DA2DFB"/>
    <w:rsid w:val="00E0592B"/>
    <w:rsid w:val="00E22D84"/>
    <w:rsid w:val="00E31738"/>
    <w:rsid w:val="00E86786"/>
    <w:rsid w:val="00ED2F80"/>
    <w:rsid w:val="00F1624E"/>
    <w:rsid w:val="00F32F8A"/>
    <w:rsid w:val="00F53310"/>
    <w:rsid w:val="00F810AA"/>
    <w:rsid w:val="00FB43EC"/>
    <w:rsid w:val="00FB6B40"/>
    <w:rsid w:val="0CAF461F"/>
    <w:rsid w:val="10655B78"/>
    <w:rsid w:val="2030307C"/>
    <w:rsid w:val="24F903CF"/>
    <w:rsid w:val="2B0B11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8BD3A"/>
  <w15:docId w15:val="{170EFFA4-9488-404E-8447-C045770B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中银</cp:lastModifiedBy>
  <cp:revision>14</cp:revision>
  <dcterms:created xsi:type="dcterms:W3CDTF">2018-09-29T02:33:00Z</dcterms:created>
  <dcterms:modified xsi:type="dcterms:W3CDTF">2020-10-21T03:08:00Z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