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0C79" w:rsidRDefault="00343620">
      <w:pPr>
        <w:spacing w:line="440" w:lineRule="exact"/>
        <w:jc w:val="center"/>
        <w:rPr>
          <w:rFonts w:ascii="仿宋" w:eastAsia="仿宋" w:hAnsi="仿宋"/>
          <w:b/>
          <w:bCs/>
          <w:sz w:val="30"/>
          <w:szCs w:val="30"/>
        </w:rPr>
      </w:pPr>
      <w:r>
        <w:rPr>
          <w:rFonts w:ascii="仿宋" w:eastAsia="仿宋" w:hAnsi="仿宋" w:hint="eastAsia"/>
          <w:b/>
          <w:bCs/>
          <w:sz w:val="30"/>
          <w:szCs w:val="30"/>
        </w:rPr>
        <w:t>经营者集中简易案件公示表</w:t>
      </w:r>
    </w:p>
    <w:p w:rsidR="00330C79" w:rsidRDefault="00330C79">
      <w:pPr>
        <w:spacing w:line="440" w:lineRule="exact"/>
        <w:rPr>
          <w:rFonts w:ascii="仿宋" w:eastAsia="仿宋" w:hAnsi="仿宋"/>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330C79">
        <w:trPr>
          <w:trHeight w:val="528"/>
        </w:trPr>
        <w:tc>
          <w:tcPr>
            <w:tcW w:w="1809" w:type="dxa"/>
            <w:shd w:val="clear" w:color="auto" w:fill="D9D9D9"/>
            <w:vAlign w:val="center"/>
          </w:tcPr>
          <w:p w:rsidR="00330C79" w:rsidRDefault="00343620">
            <w:pPr>
              <w:jc w:val="center"/>
              <w:rPr>
                <w:rFonts w:ascii="仿宋" w:eastAsia="仿宋" w:hAnsi="仿宋"/>
                <w:sz w:val="24"/>
                <w:szCs w:val="24"/>
              </w:rPr>
            </w:pPr>
            <w:r>
              <w:rPr>
                <w:rFonts w:ascii="仿宋" w:eastAsia="仿宋" w:hAnsi="仿宋" w:hint="eastAsia"/>
                <w:sz w:val="24"/>
                <w:szCs w:val="24"/>
              </w:rPr>
              <w:t>案件名称</w:t>
            </w:r>
          </w:p>
        </w:tc>
        <w:tc>
          <w:tcPr>
            <w:tcW w:w="6949" w:type="dxa"/>
            <w:gridSpan w:val="2"/>
            <w:vAlign w:val="center"/>
          </w:tcPr>
          <w:p w:rsidR="00330C79" w:rsidRDefault="000479E3">
            <w:pPr>
              <w:rPr>
                <w:rFonts w:ascii="仿宋" w:eastAsia="仿宋" w:hAnsi="仿宋"/>
                <w:sz w:val="24"/>
                <w:szCs w:val="24"/>
              </w:rPr>
            </w:pPr>
            <w:r w:rsidRPr="000479E3">
              <w:rPr>
                <w:rFonts w:ascii="仿宋" w:eastAsia="仿宋" w:hAnsi="仿宋" w:hint="eastAsia"/>
                <w:sz w:val="24"/>
                <w:szCs w:val="24"/>
              </w:rPr>
              <w:t>伊藤忠商事株式会社收购液化天然气矢车菊航运公司股权案</w:t>
            </w:r>
          </w:p>
        </w:tc>
      </w:tr>
      <w:tr w:rsidR="00330C79">
        <w:trPr>
          <w:trHeight w:val="993"/>
        </w:trPr>
        <w:tc>
          <w:tcPr>
            <w:tcW w:w="1809" w:type="dxa"/>
            <w:shd w:val="clear" w:color="auto" w:fill="D9D9D9"/>
            <w:vAlign w:val="center"/>
          </w:tcPr>
          <w:p w:rsidR="00330C79" w:rsidRDefault="0034362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rsidR="00330C79" w:rsidRDefault="0034362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rsidR="00330C79" w:rsidRDefault="00BD3120">
            <w:pPr>
              <w:spacing w:line="500" w:lineRule="exact"/>
              <w:rPr>
                <w:rFonts w:ascii="仿宋" w:eastAsia="仿宋" w:hAnsi="仿宋" w:cs="宋体"/>
                <w:color w:val="333333"/>
                <w:kern w:val="0"/>
                <w:sz w:val="24"/>
                <w:szCs w:val="24"/>
              </w:rPr>
            </w:pPr>
            <w:r>
              <w:rPr>
                <w:rFonts w:ascii="仿宋" w:eastAsia="仿宋" w:hAnsi="仿宋" w:hint="eastAsia"/>
                <w:sz w:val="24"/>
                <w:szCs w:val="24"/>
              </w:rPr>
              <w:t>本交易为</w:t>
            </w:r>
            <w:r w:rsidR="00884744">
              <w:rPr>
                <w:rFonts w:ascii="仿宋" w:eastAsia="仿宋" w:hAnsi="仿宋" w:hint="eastAsia"/>
                <w:sz w:val="24"/>
                <w:szCs w:val="24"/>
              </w:rPr>
              <w:t>伊藤忠商事株式会社（“</w:t>
            </w:r>
            <w:r w:rsidR="00884744" w:rsidRPr="00884744">
              <w:rPr>
                <w:rFonts w:ascii="仿宋" w:eastAsia="仿宋" w:hAnsi="仿宋" w:cs="宋体" w:hint="eastAsia"/>
                <w:color w:val="333333"/>
                <w:kern w:val="0"/>
                <w:sz w:val="24"/>
                <w:szCs w:val="24"/>
              </w:rPr>
              <w:t>伊藤忠商事</w:t>
            </w:r>
            <w:r w:rsidR="00884744">
              <w:rPr>
                <w:rFonts w:ascii="仿宋" w:eastAsia="仿宋" w:hAnsi="仿宋" w:cs="宋体" w:hint="eastAsia"/>
                <w:color w:val="333333"/>
                <w:kern w:val="0"/>
                <w:sz w:val="24"/>
                <w:szCs w:val="24"/>
              </w:rPr>
              <w:t>”）收购</w:t>
            </w:r>
            <w:r w:rsidRPr="00BD3120">
              <w:rPr>
                <w:rFonts w:ascii="仿宋" w:eastAsia="仿宋" w:hAnsi="仿宋" w:hint="eastAsia"/>
                <w:sz w:val="24"/>
                <w:szCs w:val="24"/>
              </w:rPr>
              <w:t>株式会社商船三井</w:t>
            </w:r>
            <w:r w:rsidR="00B2642D">
              <w:rPr>
                <w:rFonts w:ascii="仿宋" w:eastAsia="仿宋" w:hAnsi="仿宋" w:hint="eastAsia"/>
                <w:sz w:val="24"/>
                <w:szCs w:val="24"/>
              </w:rPr>
              <w:t>（“</w:t>
            </w:r>
            <w:r w:rsidRPr="00BD3120">
              <w:rPr>
                <w:rFonts w:ascii="仿宋" w:eastAsia="仿宋" w:hAnsi="仿宋" w:hint="eastAsia"/>
                <w:sz w:val="24"/>
                <w:szCs w:val="24"/>
              </w:rPr>
              <w:t>商船三井</w:t>
            </w:r>
            <w:r w:rsidR="00B2642D">
              <w:rPr>
                <w:rFonts w:ascii="仿宋" w:eastAsia="仿宋" w:hAnsi="仿宋"/>
                <w:sz w:val="24"/>
                <w:szCs w:val="24"/>
              </w:rPr>
              <w:t>”</w:t>
            </w:r>
            <w:r>
              <w:rPr>
                <w:rFonts w:ascii="仿宋" w:eastAsia="仿宋" w:hAnsi="仿宋" w:hint="eastAsia"/>
                <w:sz w:val="24"/>
                <w:szCs w:val="24"/>
              </w:rPr>
              <w:t>）</w:t>
            </w:r>
            <w:r w:rsidR="00884744">
              <w:rPr>
                <w:rFonts w:ascii="仿宋" w:eastAsia="仿宋" w:hAnsi="仿宋" w:cs="宋体" w:hint="eastAsia"/>
                <w:color w:val="333333"/>
                <w:kern w:val="0"/>
                <w:sz w:val="24"/>
                <w:szCs w:val="24"/>
              </w:rPr>
              <w:t>全资持有的</w:t>
            </w:r>
            <w:r w:rsidR="00884744" w:rsidRPr="000479E3">
              <w:rPr>
                <w:rFonts w:ascii="仿宋" w:eastAsia="仿宋" w:hAnsi="仿宋" w:hint="eastAsia"/>
                <w:sz w:val="24"/>
                <w:szCs w:val="24"/>
              </w:rPr>
              <w:t>液化天然气矢车菊航运公司</w:t>
            </w:r>
            <w:r>
              <w:rPr>
                <w:rFonts w:ascii="仿宋" w:eastAsia="仿宋" w:hAnsi="仿宋" w:hint="eastAsia"/>
                <w:sz w:val="24"/>
                <w:szCs w:val="24"/>
              </w:rPr>
              <w:t>（</w:t>
            </w:r>
            <w:r w:rsidR="00B2642D">
              <w:rPr>
                <w:rFonts w:ascii="仿宋" w:eastAsia="仿宋" w:hAnsi="仿宋" w:hint="eastAsia"/>
                <w:sz w:val="24"/>
                <w:szCs w:val="24"/>
              </w:rPr>
              <w:t>“</w:t>
            </w:r>
            <w:r>
              <w:rPr>
                <w:rFonts w:ascii="仿宋" w:eastAsia="仿宋" w:hAnsi="仿宋" w:hint="eastAsia"/>
                <w:sz w:val="24"/>
                <w:szCs w:val="24"/>
              </w:rPr>
              <w:t>目标公司</w:t>
            </w:r>
            <w:r w:rsidR="00B2642D">
              <w:rPr>
                <w:rFonts w:ascii="仿宋" w:eastAsia="仿宋" w:hAnsi="仿宋" w:hint="eastAsia"/>
                <w:sz w:val="24"/>
                <w:szCs w:val="24"/>
              </w:rPr>
              <w:t>”</w:t>
            </w:r>
            <w:r>
              <w:rPr>
                <w:rFonts w:ascii="仿宋" w:eastAsia="仿宋" w:hAnsi="仿宋" w:hint="eastAsia"/>
                <w:sz w:val="24"/>
                <w:szCs w:val="24"/>
              </w:rPr>
              <w:t>）</w:t>
            </w:r>
            <w:r w:rsidR="00884744">
              <w:rPr>
                <w:rFonts w:ascii="仿宋" w:eastAsia="仿宋" w:hAnsi="仿宋" w:hint="eastAsia"/>
                <w:sz w:val="24"/>
                <w:szCs w:val="24"/>
              </w:rPr>
              <w:t>2</w:t>
            </w:r>
            <w:r w:rsidR="00884744">
              <w:rPr>
                <w:rFonts w:ascii="仿宋" w:eastAsia="仿宋" w:hAnsi="仿宋"/>
                <w:sz w:val="24"/>
                <w:szCs w:val="24"/>
              </w:rPr>
              <w:t>0%</w:t>
            </w:r>
            <w:r w:rsidR="00B2642D">
              <w:rPr>
                <w:rFonts w:ascii="仿宋" w:eastAsia="仿宋" w:hAnsi="仿宋" w:hint="eastAsia"/>
                <w:sz w:val="24"/>
                <w:szCs w:val="24"/>
              </w:rPr>
              <w:t>的</w:t>
            </w:r>
            <w:r w:rsidR="00884744">
              <w:rPr>
                <w:rFonts w:ascii="仿宋" w:eastAsia="仿宋" w:hAnsi="仿宋" w:hint="eastAsia"/>
                <w:sz w:val="24"/>
                <w:szCs w:val="24"/>
              </w:rPr>
              <w:t>股权</w:t>
            </w:r>
            <w:r>
              <w:rPr>
                <w:rFonts w:ascii="仿宋" w:eastAsia="仿宋" w:hAnsi="仿宋" w:hint="eastAsia"/>
                <w:sz w:val="24"/>
                <w:szCs w:val="24"/>
              </w:rPr>
              <w:t>，</w:t>
            </w:r>
            <w:r w:rsidR="00B2642D">
              <w:rPr>
                <w:rFonts w:ascii="仿宋" w:eastAsia="仿宋" w:hAnsi="仿宋" w:hint="eastAsia"/>
                <w:sz w:val="24"/>
                <w:szCs w:val="24"/>
              </w:rPr>
              <w:t>目标公司成为共同控制的</w:t>
            </w:r>
            <w:r>
              <w:rPr>
                <w:rFonts w:ascii="仿宋" w:eastAsia="仿宋" w:hAnsi="仿宋" w:hint="eastAsia"/>
                <w:sz w:val="24"/>
                <w:szCs w:val="24"/>
              </w:rPr>
              <w:t>合营企业</w:t>
            </w:r>
            <w:r>
              <w:rPr>
                <w:rFonts w:ascii="仿宋" w:eastAsia="仿宋" w:hAnsi="仿宋" w:cs="宋体" w:hint="eastAsia"/>
                <w:color w:val="333333"/>
                <w:kern w:val="0"/>
                <w:sz w:val="24"/>
                <w:szCs w:val="24"/>
              </w:rPr>
              <w:t>。交易后，</w:t>
            </w:r>
            <w:r w:rsidRPr="00884744">
              <w:rPr>
                <w:rFonts w:ascii="仿宋" w:eastAsia="仿宋" w:hAnsi="仿宋" w:cs="宋体" w:hint="eastAsia"/>
                <w:color w:val="333333"/>
                <w:kern w:val="0"/>
                <w:sz w:val="24"/>
                <w:szCs w:val="24"/>
              </w:rPr>
              <w:t>伊藤忠商事</w:t>
            </w:r>
            <w:r>
              <w:rPr>
                <w:rFonts w:ascii="仿宋" w:eastAsia="仿宋" w:hAnsi="仿宋" w:cs="宋体" w:hint="eastAsia"/>
                <w:color w:val="333333"/>
                <w:kern w:val="0"/>
                <w:sz w:val="24"/>
                <w:szCs w:val="24"/>
              </w:rPr>
              <w:t>与</w:t>
            </w:r>
            <w:r w:rsidRPr="00BD3120">
              <w:rPr>
                <w:rFonts w:ascii="仿宋" w:eastAsia="仿宋" w:hAnsi="仿宋" w:hint="eastAsia"/>
                <w:sz w:val="24"/>
                <w:szCs w:val="24"/>
              </w:rPr>
              <w:t>商船三井</w:t>
            </w:r>
            <w:r>
              <w:rPr>
                <w:rFonts w:ascii="仿宋" w:eastAsia="仿宋" w:hAnsi="仿宋" w:hint="eastAsia"/>
                <w:sz w:val="24"/>
                <w:szCs w:val="24"/>
              </w:rPr>
              <w:t>共同控制目标公司。</w:t>
            </w:r>
          </w:p>
        </w:tc>
      </w:tr>
      <w:tr w:rsidR="00330C79">
        <w:trPr>
          <w:trHeight w:val="468"/>
        </w:trPr>
        <w:tc>
          <w:tcPr>
            <w:tcW w:w="1809" w:type="dxa"/>
            <w:vMerge w:val="restart"/>
            <w:shd w:val="clear" w:color="auto" w:fill="D9D9D9"/>
            <w:vAlign w:val="center"/>
          </w:tcPr>
          <w:p w:rsidR="00330C79" w:rsidRDefault="0034362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rsidR="00330C79" w:rsidRDefault="0034362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796" w:type="dxa"/>
            <w:vAlign w:val="center"/>
          </w:tcPr>
          <w:p w:rsidR="00330C79" w:rsidRDefault="0034362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sidR="00884744" w:rsidRPr="00884744">
              <w:rPr>
                <w:rFonts w:ascii="仿宋" w:eastAsia="仿宋" w:hAnsi="仿宋" w:cs="宋体" w:hint="eastAsia"/>
                <w:color w:val="333333"/>
                <w:kern w:val="0"/>
                <w:sz w:val="24"/>
                <w:szCs w:val="24"/>
              </w:rPr>
              <w:t>伊藤忠商事</w:t>
            </w:r>
          </w:p>
        </w:tc>
        <w:tc>
          <w:tcPr>
            <w:tcW w:w="5153" w:type="dxa"/>
          </w:tcPr>
          <w:p w:rsidR="00330C79" w:rsidRDefault="00884744">
            <w:pPr>
              <w:spacing w:line="500" w:lineRule="exact"/>
              <w:rPr>
                <w:rFonts w:ascii="仿宋" w:eastAsia="仿宋" w:hAnsi="仿宋" w:cs="宋体"/>
                <w:color w:val="333333"/>
                <w:kern w:val="0"/>
                <w:sz w:val="24"/>
                <w:szCs w:val="24"/>
              </w:rPr>
            </w:pPr>
            <w:r w:rsidRPr="00884744">
              <w:rPr>
                <w:rFonts w:ascii="仿宋" w:eastAsia="仿宋" w:hAnsi="仿宋" w:cs="宋体" w:hint="eastAsia"/>
                <w:color w:val="333333"/>
                <w:kern w:val="0"/>
                <w:sz w:val="24"/>
                <w:szCs w:val="24"/>
              </w:rPr>
              <w:t>伊藤忠商事为综合贸易商社，其主要业务为，在纤维，机械，金属，能源，化工品，粮油食品，生活资材</w:t>
            </w:r>
            <w:r>
              <w:rPr>
                <w:rFonts w:ascii="Courier New" w:eastAsia="仿宋" w:hAnsi="Courier New" w:cs="Courier New" w:hint="eastAsia"/>
                <w:color w:val="333333"/>
                <w:kern w:val="0"/>
                <w:sz w:val="24"/>
                <w:szCs w:val="24"/>
              </w:rPr>
              <w:t>、</w:t>
            </w:r>
            <w:r w:rsidRPr="00884744">
              <w:rPr>
                <w:rFonts w:ascii="仿宋" w:eastAsia="仿宋" w:hAnsi="仿宋" w:cs="宋体" w:hint="eastAsia"/>
                <w:color w:val="333333"/>
                <w:kern w:val="0"/>
                <w:sz w:val="24"/>
                <w:szCs w:val="24"/>
              </w:rPr>
              <w:t>住居，信息通信，保险，物流，建设，金融等各领域从事国内贸易，进出口贸易，三方贸易，以及国内外贸易投资。</w:t>
            </w:r>
            <w:bookmarkStart w:id="0" w:name="_GoBack"/>
            <w:bookmarkEnd w:id="0"/>
          </w:p>
        </w:tc>
      </w:tr>
      <w:tr w:rsidR="00330C79">
        <w:trPr>
          <w:trHeight w:val="599"/>
        </w:trPr>
        <w:tc>
          <w:tcPr>
            <w:tcW w:w="1809" w:type="dxa"/>
            <w:vMerge/>
            <w:shd w:val="clear" w:color="auto" w:fill="D9D9D9"/>
            <w:vAlign w:val="center"/>
          </w:tcPr>
          <w:p w:rsidR="00330C79" w:rsidRDefault="00330C79">
            <w:pPr>
              <w:spacing w:line="500" w:lineRule="exact"/>
              <w:jc w:val="center"/>
              <w:rPr>
                <w:rFonts w:ascii="仿宋" w:eastAsia="仿宋" w:hAnsi="仿宋" w:cs="宋体"/>
                <w:color w:val="333333"/>
                <w:kern w:val="0"/>
                <w:sz w:val="24"/>
                <w:szCs w:val="24"/>
              </w:rPr>
            </w:pPr>
          </w:p>
        </w:tc>
        <w:tc>
          <w:tcPr>
            <w:tcW w:w="1796" w:type="dxa"/>
            <w:vAlign w:val="center"/>
          </w:tcPr>
          <w:p w:rsidR="00330C79" w:rsidRDefault="0034362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sidR="00BD3120" w:rsidRPr="00BD3120">
              <w:rPr>
                <w:rFonts w:ascii="仿宋" w:eastAsia="仿宋" w:hAnsi="仿宋" w:hint="eastAsia"/>
                <w:sz w:val="24"/>
                <w:szCs w:val="24"/>
              </w:rPr>
              <w:t>商船三井</w:t>
            </w:r>
          </w:p>
        </w:tc>
        <w:tc>
          <w:tcPr>
            <w:tcW w:w="5153" w:type="dxa"/>
          </w:tcPr>
          <w:p w:rsidR="00BD3120" w:rsidRDefault="00BD3120">
            <w:pPr>
              <w:spacing w:line="500" w:lineRule="exact"/>
              <w:rPr>
                <w:rFonts w:ascii="仿宋" w:eastAsia="仿宋" w:hAnsi="仿宋" w:cs="宋体"/>
                <w:color w:val="333333"/>
                <w:kern w:val="0"/>
                <w:sz w:val="24"/>
                <w:szCs w:val="24"/>
              </w:rPr>
            </w:pPr>
            <w:r w:rsidRPr="00BD3120">
              <w:rPr>
                <w:rFonts w:ascii="仿宋" w:eastAsia="仿宋" w:hAnsi="仿宋" w:cs="宋体" w:hint="eastAsia"/>
                <w:color w:val="333333"/>
                <w:kern w:val="0"/>
                <w:sz w:val="24"/>
                <w:szCs w:val="24"/>
              </w:rPr>
              <w:t>商船三井作为专门的船运公司，其业务分为：</w:t>
            </w:r>
          </w:p>
          <w:p w:rsidR="00BD3120" w:rsidRDefault="00BD3120">
            <w:pPr>
              <w:spacing w:line="500" w:lineRule="exact"/>
              <w:rPr>
                <w:rFonts w:ascii="仿宋" w:eastAsia="仿宋" w:hAnsi="仿宋" w:cs="宋体"/>
                <w:color w:val="333333"/>
                <w:kern w:val="0"/>
                <w:sz w:val="24"/>
                <w:szCs w:val="24"/>
              </w:rPr>
            </w:pPr>
            <w:r w:rsidRPr="00BD3120">
              <w:rPr>
                <w:rFonts w:ascii="仿宋" w:eastAsia="仿宋" w:hAnsi="仿宋" w:cs="宋体" w:hint="eastAsia"/>
                <w:color w:val="333333"/>
                <w:kern w:val="0"/>
                <w:sz w:val="24"/>
                <w:szCs w:val="24"/>
              </w:rPr>
              <w:t>（1）不定期专用船业务</w:t>
            </w:r>
            <w:r>
              <w:rPr>
                <w:rFonts w:ascii="仿宋" w:eastAsia="仿宋" w:hAnsi="仿宋" w:cs="宋体" w:hint="eastAsia"/>
                <w:color w:val="333333"/>
                <w:kern w:val="0"/>
                <w:sz w:val="24"/>
                <w:szCs w:val="24"/>
              </w:rPr>
              <w:t>。</w:t>
            </w:r>
            <w:r w:rsidRPr="00BD3120">
              <w:rPr>
                <w:rFonts w:ascii="仿宋" w:eastAsia="仿宋" w:hAnsi="仿宋" w:cs="宋体" w:hint="eastAsia"/>
                <w:color w:val="333333"/>
                <w:kern w:val="0"/>
                <w:sz w:val="24"/>
                <w:szCs w:val="24"/>
              </w:rPr>
              <w:t>商船三井通过本公司及关联公司，持有并运营散装船、油罐船、LNG船、汽车专用船等不定期专用船，在世界范围内开展海上货物运输</w:t>
            </w:r>
            <w:r>
              <w:rPr>
                <w:rFonts w:ascii="仿宋" w:eastAsia="仿宋" w:hAnsi="仿宋" w:cs="宋体" w:hint="eastAsia"/>
                <w:color w:val="333333"/>
                <w:kern w:val="0"/>
                <w:sz w:val="24"/>
                <w:szCs w:val="24"/>
              </w:rPr>
              <w:t>。</w:t>
            </w:r>
          </w:p>
          <w:p w:rsidR="00BD3120" w:rsidRDefault="00BD3120">
            <w:pPr>
              <w:spacing w:line="500" w:lineRule="exact"/>
              <w:rPr>
                <w:rFonts w:ascii="仿宋" w:eastAsia="仿宋" w:hAnsi="仿宋" w:cs="宋体"/>
                <w:color w:val="333333"/>
                <w:kern w:val="0"/>
                <w:sz w:val="24"/>
                <w:szCs w:val="24"/>
              </w:rPr>
            </w:pPr>
            <w:r w:rsidRPr="00BD3120">
              <w:rPr>
                <w:rFonts w:ascii="仿宋" w:eastAsia="仿宋" w:hAnsi="仿宋" w:cs="宋体" w:hint="eastAsia"/>
                <w:color w:val="333333"/>
                <w:kern w:val="0"/>
                <w:sz w:val="24"/>
                <w:szCs w:val="24"/>
              </w:rPr>
              <w:t>（2）集装箱船业务</w:t>
            </w:r>
            <w:r w:rsidR="005D36AF">
              <w:rPr>
                <w:rFonts w:ascii="仿宋" w:eastAsia="仿宋" w:hAnsi="仿宋" w:cs="宋体" w:hint="eastAsia"/>
                <w:color w:val="333333"/>
                <w:kern w:val="0"/>
                <w:sz w:val="24"/>
                <w:szCs w:val="24"/>
              </w:rPr>
              <w:t>。</w:t>
            </w:r>
            <w:r w:rsidRPr="00BD3120">
              <w:rPr>
                <w:rFonts w:ascii="仿宋" w:eastAsia="仿宋" w:hAnsi="仿宋" w:cs="宋体" w:hint="eastAsia"/>
                <w:color w:val="333333"/>
                <w:kern w:val="0"/>
                <w:sz w:val="24"/>
                <w:szCs w:val="24"/>
              </w:rPr>
              <w:t>商船三井经由本公司及关联公司，通过集装箱船的持有及航运、集装箱终端的运营以及运输代理店等在全世界进行集装箱船定期航路的运营，运输货物。</w:t>
            </w:r>
          </w:p>
          <w:p w:rsidR="005D36AF" w:rsidRDefault="00BD3120">
            <w:pPr>
              <w:spacing w:line="500" w:lineRule="exact"/>
              <w:rPr>
                <w:rFonts w:ascii="仿宋" w:eastAsia="仿宋" w:hAnsi="仿宋" w:cs="宋体" w:hint="eastAsia"/>
                <w:color w:val="333333"/>
                <w:kern w:val="0"/>
                <w:sz w:val="24"/>
                <w:szCs w:val="24"/>
              </w:rPr>
            </w:pPr>
            <w:r w:rsidRPr="00BD3120">
              <w:rPr>
                <w:rFonts w:ascii="仿宋" w:eastAsia="仿宋" w:hAnsi="仿宋" w:cs="宋体" w:hint="eastAsia"/>
                <w:color w:val="333333"/>
                <w:kern w:val="0"/>
                <w:sz w:val="24"/>
                <w:szCs w:val="24"/>
              </w:rPr>
              <w:t>（3）渡轮及日本国内航运业务等</w:t>
            </w:r>
            <w:r>
              <w:rPr>
                <w:rFonts w:ascii="仿宋" w:eastAsia="仿宋" w:hAnsi="仿宋" w:cs="宋体" w:hint="eastAsia"/>
                <w:color w:val="333333"/>
                <w:kern w:val="0"/>
                <w:sz w:val="24"/>
                <w:szCs w:val="24"/>
              </w:rPr>
              <w:t>。</w:t>
            </w:r>
          </w:p>
        </w:tc>
      </w:tr>
      <w:tr w:rsidR="00330C79">
        <w:trPr>
          <w:trHeight w:val="279"/>
        </w:trPr>
        <w:tc>
          <w:tcPr>
            <w:tcW w:w="1809" w:type="dxa"/>
            <w:vMerge w:val="restart"/>
            <w:shd w:val="clear" w:color="auto" w:fill="D9D9D9"/>
            <w:vAlign w:val="center"/>
          </w:tcPr>
          <w:p w:rsidR="00330C79" w:rsidRDefault="0034362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rsidR="00330C79" w:rsidRDefault="0034362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□1.在同一相关市场，所有参与集中的经营者所占市场份额之和小于15%。</w:t>
            </w:r>
          </w:p>
        </w:tc>
      </w:tr>
      <w:tr w:rsidR="00330C79">
        <w:trPr>
          <w:trHeight w:val="330"/>
        </w:trPr>
        <w:tc>
          <w:tcPr>
            <w:tcW w:w="1809" w:type="dxa"/>
            <w:vMerge/>
            <w:shd w:val="clear" w:color="auto" w:fill="D9D9D9"/>
            <w:vAlign w:val="center"/>
          </w:tcPr>
          <w:p w:rsidR="00330C79" w:rsidRDefault="00330C79">
            <w:pPr>
              <w:spacing w:line="500" w:lineRule="exact"/>
              <w:jc w:val="center"/>
              <w:rPr>
                <w:rFonts w:ascii="仿宋" w:eastAsia="仿宋" w:hAnsi="仿宋" w:cs="宋体"/>
                <w:color w:val="333333"/>
                <w:kern w:val="0"/>
                <w:sz w:val="24"/>
                <w:szCs w:val="24"/>
              </w:rPr>
            </w:pPr>
          </w:p>
        </w:tc>
        <w:tc>
          <w:tcPr>
            <w:tcW w:w="6949" w:type="dxa"/>
            <w:gridSpan w:val="2"/>
          </w:tcPr>
          <w:p w:rsidR="00330C79" w:rsidRDefault="0034362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□2.存在上下游关系的参与集中的经营者，在上下游市场所占的市场份额均小于25%。</w:t>
            </w:r>
          </w:p>
        </w:tc>
      </w:tr>
      <w:tr w:rsidR="00330C79">
        <w:trPr>
          <w:trHeight w:val="285"/>
        </w:trPr>
        <w:tc>
          <w:tcPr>
            <w:tcW w:w="1809" w:type="dxa"/>
            <w:vMerge/>
            <w:shd w:val="clear" w:color="auto" w:fill="D9D9D9"/>
            <w:vAlign w:val="center"/>
          </w:tcPr>
          <w:p w:rsidR="00330C79" w:rsidRDefault="00330C79">
            <w:pPr>
              <w:spacing w:line="500" w:lineRule="exact"/>
              <w:jc w:val="center"/>
              <w:rPr>
                <w:rFonts w:ascii="仿宋" w:eastAsia="仿宋" w:hAnsi="仿宋" w:cs="宋体"/>
                <w:color w:val="333333"/>
                <w:kern w:val="0"/>
                <w:sz w:val="24"/>
                <w:szCs w:val="24"/>
              </w:rPr>
            </w:pPr>
          </w:p>
        </w:tc>
        <w:tc>
          <w:tcPr>
            <w:tcW w:w="6949" w:type="dxa"/>
            <w:gridSpan w:val="2"/>
          </w:tcPr>
          <w:p w:rsidR="00330C79" w:rsidRDefault="0093751E">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343620">
              <w:rPr>
                <w:rFonts w:ascii="仿宋" w:eastAsia="仿宋" w:hAnsi="仿宋" w:cs="宋体" w:hint="eastAsia"/>
                <w:color w:val="333333"/>
                <w:kern w:val="0"/>
                <w:sz w:val="24"/>
                <w:szCs w:val="24"/>
              </w:rPr>
              <w:t>3.不在同一相关市场、也不存在上下游关系的参与集中的经营</w:t>
            </w:r>
            <w:r w:rsidR="00343620">
              <w:rPr>
                <w:rFonts w:ascii="仿宋" w:eastAsia="仿宋" w:hAnsi="仿宋" w:cs="宋体" w:hint="eastAsia"/>
                <w:color w:val="333333"/>
                <w:kern w:val="0"/>
                <w:sz w:val="24"/>
                <w:szCs w:val="24"/>
              </w:rPr>
              <w:lastRenderedPageBreak/>
              <w:t>者，在与交易有关的每个市场所占的份额均小于25%。</w:t>
            </w:r>
          </w:p>
        </w:tc>
      </w:tr>
      <w:tr w:rsidR="00330C79">
        <w:trPr>
          <w:trHeight w:val="870"/>
        </w:trPr>
        <w:tc>
          <w:tcPr>
            <w:tcW w:w="1809" w:type="dxa"/>
            <w:vMerge/>
            <w:shd w:val="clear" w:color="auto" w:fill="D9D9D9"/>
            <w:vAlign w:val="center"/>
          </w:tcPr>
          <w:p w:rsidR="00330C79" w:rsidRDefault="00330C79">
            <w:pPr>
              <w:spacing w:line="500" w:lineRule="exact"/>
              <w:jc w:val="center"/>
              <w:rPr>
                <w:rFonts w:ascii="仿宋" w:eastAsia="仿宋" w:hAnsi="仿宋" w:cs="宋体"/>
                <w:color w:val="333333"/>
                <w:kern w:val="0"/>
                <w:sz w:val="24"/>
                <w:szCs w:val="24"/>
              </w:rPr>
            </w:pPr>
          </w:p>
        </w:tc>
        <w:tc>
          <w:tcPr>
            <w:tcW w:w="6949" w:type="dxa"/>
            <w:gridSpan w:val="2"/>
          </w:tcPr>
          <w:p w:rsidR="00330C79" w:rsidRDefault="0034362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330C79">
        <w:trPr>
          <w:trHeight w:val="264"/>
        </w:trPr>
        <w:tc>
          <w:tcPr>
            <w:tcW w:w="1809" w:type="dxa"/>
            <w:vMerge/>
            <w:shd w:val="clear" w:color="auto" w:fill="D9D9D9"/>
            <w:vAlign w:val="center"/>
          </w:tcPr>
          <w:p w:rsidR="00330C79" w:rsidRDefault="00330C79">
            <w:pPr>
              <w:spacing w:line="500" w:lineRule="exact"/>
              <w:jc w:val="center"/>
              <w:rPr>
                <w:rFonts w:ascii="仿宋" w:eastAsia="仿宋" w:hAnsi="仿宋" w:cs="宋体"/>
                <w:color w:val="333333"/>
                <w:kern w:val="0"/>
                <w:sz w:val="24"/>
                <w:szCs w:val="24"/>
              </w:rPr>
            </w:pPr>
          </w:p>
        </w:tc>
        <w:tc>
          <w:tcPr>
            <w:tcW w:w="6949" w:type="dxa"/>
            <w:gridSpan w:val="2"/>
          </w:tcPr>
          <w:p w:rsidR="00330C79" w:rsidRDefault="0093751E">
            <w:pPr>
              <w:spacing w:line="500" w:lineRule="exact"/>
              <w:rPr>
                <w:rFonts w:ascii="仿宋" w:eastAsia="仿宋" w:hAnsi="仿宋" w:cs="宋体"/>
                <w:color w:val="333333"/>
                <w:kern w:val="0"/>
                <w:sz w:val="24"/>
                <w:szCs w:val="24"/>
              </w:rPr>
            </w:pPr>
            <w:r>
              <w:rPr>
                <w:rFonts w:ascii="Times New Roman" w:hAnsi="Times New Roman"/>
                <w:sz w:val="24"/>
                <w:szCs w:val="24"/>
              </w:rPr>
              <w:sym w:font="Wingdings" w:char="F0FE"/>
            </w:r>
            <w:r w:rsidR="00343620">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330C79">
        <w:trPr>
          <w:trHeight w:val="345"/>
        </w:trPr>
        <w:tc>
          <w:tcPr>
            <w:tcW w:w="1809" w:type="dxa"/>
            <w:vMerge/>
            <w:shd w:val="clear" w:color="auto" w:fill="D9D9D9"/>
            <w:vAlign w:val="center"/>
          </w:tcPr>
          <w:p w:rsidR="00330C79" w:rsidRDefault="00330C79">
            <w:pPr>
              <w:spacing w:line="500" w:lineRule="exact"/>
              <w:jc w:val="center"/>
              <w:rPr>
                <w:rFonts w:ascii="仿宋" w:eastAsia="仿宋" w:hAnsi="仿宋" w:cs="宋体"/>
                <w:color w:val="333333"/>
                <w:kern w:val="0"/>
                <w:sz w:val="24"/>
                <w:szCs w:val="24"/>
              </w:rPr>
            </w:pPr>
          </w:p>
        </w:tc>
        <w:tc>
          <w:tcPr>
            <w:tcW w:w="6949" w:type="dxa"/>
            <w:gridSpan w:val="2"/>
          </w:tcPr>
          <w:p w:rsidR="00330C79" w:rsidRDefault="0034362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330C79">
        <w:tc>
          <w:tcPr>
            <w:tcW w:w="1809" w:type="dxa"/>
            <w:shd w:val="clear" w:color="auto" w:fill="D9D9D9"/>
            <w:vAlign w:val="center"/>
          </w:tcPr>
          <w:p w:rsidR="00330C79" w:rsidRDefault="0034362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rsidR="00330C79" w:rsidRDefault="00C51BAE">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不适用。</w:t>
            </w:r>
          </w:p>
        </w:tc>
      </w:tr>
    </w:tbl>
    <w:p w:rsidR="00330C79" w:rsidRDefault="00330C79">
      <w:pPr>
        <w:rPr>
          <w:rFonts w:ascii="仿宋" w:eastAsia="仿宋" w:hAnsi="仿宋"/>
        </w:rPr>
      </w:pPr>
    </w:p>
    <w:sectPr w:rsidR="00330C7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0FF4" w:rsidRDefault="00AB0FF4">
      <w:r>
        <w:separator/>
      </w:r>
    </w:p>
  </w:endnote>
  <w:endnote w:type="continuationSeparator" w:id="0">
    <w:p w:rsidR="00AB0FF4" w:rsidRDefault="00AB0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5167189"/>
      <w:docPartObj>
        <w:docPartGallery w:val="AutoText"/>
      </w:docPartObj>
    </w:sdtPr>
    <w:sdtEndPr/>
    <w:sdtContent>
      <w:p w:rsidR="00330C79" w:rsidRDefault="00343620">
        <w:pPr>
          <w:pStyle w:val="a5"/>
          <w:jc w:val="center"/>
        </w:pPr>
        <w:r>
          <w:fldChar w:fldCharType="begin"/>
        </w:r>
        <w:r>
          <w:instrText>PAGE   \* MERGEFORMAT</w:instrText>
        </w:r>
        <w:r>
          <w:fldChar w:fldCharType="separate"/>
        </w:r>
        <w:r>
          <w:rPr>
            <w:lang w:val="zh-CN"/>
          </w:rPr>
          <w:t>2</w:t>
        </w:r>
        <w:r>
          <w:fldChar w:fldCharType="end"/>
        </w:r>
      </w:p>
    </w:sdtContent>
  </w:sdt>
  <w:p w:rsidR="00330C79" w:rsidRDefault="00330C7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0FF4" w:rsidRDefault="00AB0FF4">
      <w:r>
        <w:separator/>
      </w:r>
    </w:p>
  </w:footnote>
  <w:footnote w:type="continuationSeparator" w:id="0">
    <w:p w:rsidR="00AB0FF4" w:rsidRDefault="00AB0F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479E3"/>
    <w:rsid w:val="000D7EBA"/>
    <w:rsid w:val="001164CD"/>
    <w:rsid w:val="00155717"/>
    <w:rsid w:val="00156D18"/>
    <w:rsid w:val="001837A3"/>
    <w:rsid w:val="002C0EA0"/>
    <w:rsid w:val="00330C79"/>
    <w:rsid w:val="003425DE"/>
    <w:rsid w:val="00343620"/>
    <w:rsid w:val="003C0AEB"/>
    <w:rsid w:val="004B73A6"/>
    <w:rsid w:val="004F0457"/>
    <w:rsid w:val="004F7688"/>
    <w:rsid w:val="00581F71"/>
    <w:rsid w:val="005B2E49"/>
    <w:rsid w:val="005D36AF"/>
    <w:rsid w:val="005E4196"/>
    <w:rsid w:val="005E7ACE"/>
    <w:rsid w:val="005F6056"/>
    <w:rsid w:val="006467D8"/>
    <w:rsid w:val="006A531B"/>
    <w:rsid w:val="006F7693"/>
    <w:rsid w:val="00710140"/>
    <w:rsid w:val="007A433E"/>
    <w:rsid w:val="007F2275"/>
    <w:rsid w:val="00875A30"/>
    <w:rsid w:val="00884744"/>
    <w:rsid w:val="00915F0F"/>
    <w:rsid w:val="0093751E"/>
    <w:rsid w:val="009532DF"/>
    <w:rsid w:val="00997019"/>
    <w:rsid w:val="009A5029"/>
    <w:rsid w:val="009D38D5"/>
    <w:rsid w:val="00A367BB"/>
    <w:rsid w:val="00A53F26"/>
    <w:rsid w:val="00AA0CC5"/>
    <w:rsid w:val="00AB0FF4"/>
    <w:rsid w:val="00AF368A"/>
    <w:rsid w:val="00B16AFE"/>
    <w:rsid w:val="00B2642D"/>
    <w:rsid w:val="00B65DD5"/>
    <w:rsid w:val="00BD10B6"/>
    <w:rsid w:val="00BD3120"/>
    <w:rsid w:val="00BD50D2"/>
    <w:rsid w:val="00C07076"/>
    <w:rsid w:val="00C51BAE"/>
    <w:rsid w:val="00CB00DF"/>
    <w:rsid w:val="00D73C72"/>
    <w:rsid w:val="00DB22D1"/>
    <w:rsid w:val="00E0592B"/>
    <w:rsid w:val="00E31738"/>
    <w:rsid w:val="00E86786"/>
    <w:rsid w:val="00ED2F80"/>
    <w:rsid w:val="00F1624E"/>
    <w:rsid w:val="00F32F8A"/>
    <w:rsid w:val="00F810AA"/>
    <w:rsid w:val="00FB43EC"/>
    <w:rsid w:val="00FB6B40"/>
    <w:rsid w:val="054F0716"/>
    <w:rsid w:val="666D53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242A"/>
  <w15:docId w15:val="{177B6CD2-474C-F349-9393-E87D48ED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rFonts w:ascii="Calibri" w:eastAsia="宋体" w:hAnsi="Calibri" w:cs="Times New Roman"/>
      <w:sz w:val="18"/>
      <w:szCs w:val="18"/>
    </w:rPr>
  </w:style>
  <w:style w:type="character" w:customStyle="1" w:styleId="a6">
    <w:name w:val="页脚 字符"/>
    <w:basedOn w:val="a0"/>
    <w:link w:val="a5"/>
    <w:uiPriority w:val="99"/>
    <w:qFormat/>
    <w:rPr>
      <w:rFonts w:ascii="Calibri" w:eastAsia="宋体" w:hAnsi="Calibri" w:cs="Times New Roman"/>
      <w:sz w:val="18"/>
      <w:szCs w:val="18"/>
    </w:rPr>
  </w:style>
  <w:style w:type="character" w:customStyle="1" w:styleId="a4">
    <w:name w:val="批注框文本 字符"/>
    <w:basedOn w:val="a0"/>
    <w:link w:val="a3"/>
    <w:uiPriority w:val="99"/>
    <w:semiHidden/>
    <w:qFormat/>
    <w:rPr>
      <w:rFonts w:ascii="Calibri" w:eastAsia="宋体" w:hAnsi="Calibri" w:cs="Times New Roman"/>
      <w:sz w:val="18"/>
      <w:szCs w:val="18"/>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5C55345DCF3A54B8B192CF3D20B8EAC" ma:contentTypeVersion="0" ma:contentTypeDescription="新建文档。" ma:contentTypeScope="" ma:versionID="034584617a88f11e279e740982c5b07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42B3CD-F5E6-49A9-9A9C-8FC3377681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A442BC-1D09-4A1E-8580-22C9302A53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A0C93B0-B885-4C89-B7DF-C962913113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ZHONG LUN</cp:lastModifiedBy>
  <cp:revision>2</cp:revision>
  <dcterms:created xsi:type="dcterms:W3CDTF">2020-10-24T00:19:00Z</dcterms:created>
  <dcterms:modified xsi:type="dcterms:W3CDTF">2020-10-24T00:19:00Z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0x010100F5C55345DCF3A54B8B192CF3D20B8EAC</vt:lpwstr>
  </property>
  <property fmtid="{D5CDD505-2E9C-101B-9397-08002B2CF9AE}" pid="3" name="KSOProductBuildVer">
    <vt:lpwstr>2052-10.8.2.7129</vt:lpwstr>
  </property>
</Properties>
</file>