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DB22E" w14:textId="77777777" w:rsidR="009C55EB" w:rsidRDefault="00554175">
      <w:pPr>
        <w:spacing w:line="440" w:lineRule="exact"/>
        <w:jc w:val="center"/>
        <w:rPr>
          <w:rFonts w:ascii="Times New Roman" w:eastAsia="仿宋" w:hAnsi="Times New Roman"/>
          <w:b/>
          <w:sz w:val="36"/>
          <w:szCs w:val="30"/>
        </w:rPr>
      </w:pPr>
      <w:r>
        <w:rPr>
          <w:rFonts w:ascii="Times New Roman" w:eastAsia="仿宋" w:hAnsi="Times New Roman" w:hint="eastAsia"/>
          <w:b/>
          <w:sz w:val="36"/>
          <w:szCs w:val="30"/>
        </w:rPr>
        <w:t xml:space="preserve"> </w:t>
      </w:r>
      <w:r>
        <w:rPr>
          <w:rFonts w:ascii="Times New Roman" w:eastAsia="仿宋" w:hAnsi="Times New Roman" w:hint="eastAsia"/>
          <w:b/>
          <w:sz w:val="36"/>
          <w:szCs w:val="30"/>
        </w:rPr>
        <w:t>经营者集中简易案件公示表</w:t>
      </w:r>
    </w:p>
    <w:p w14:paraId="0579500D" w14:textId="77777777" w:rsidR="009C55EB" w:rsidRDefault="009C55EB">
      <w:pPr>
        <w:spacing w:line="440" w:lineRule="exact"/>
        <w:jc w:val="center"/>
        <w:rPr>
          <w:rFonts w:ascii="Times New Roman" w:eastAsia="仿宋" w:hAnsi="Times New Roman"/>
          <w:b/>
          <w:sz w:val="36"/>
          <w:szCs w:val="30"/>
        </w:rPr>
      </w:pPr>
    </w:p>
    <w:tbl>
      <w:tblPr>
        <w:tblW w:w="90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1796"/>
        <w:gridCol w:w="5153"/>
      </w:tblGrid>
      <w:tr w:rsidR="009C55EB" w14:paraId="5EB00A36" w14:textId="77777777" w:rsidTr="00EE7E5D">
        <w:tc>
          <w:tcPr>
            <w:tcW w:w="2098" w:type="dxa"/>
            <w:shd w:val="clear" w:color="auto" w:fill="D9D9D9"/>
            <w:vAlign w:val="center"/>
          </w:tcPr>
          <w:p w14:paraId="1A00C530"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案件名称</w:t>
            </w:r>
          </w:p>
        </w:tc>
        <w:tc>
          <w:tcPr>
            <w:tcW w:w="6949" w:type="dxa"/>
            <w:gridSpan w:val="2"/>
          </w:tcPr>
          <w:p w14:paraId="2A9985D5" w14:textId="664325E9" w:rsidR="009C55EB" w:rsidRDefault="002C59E7">
            <w:pPr>
              <w:rPr>
                <w:rFonts w:ascii="Times New Roman" w:eastAsia="仿宋" w:hAnsi="Times New Roman"/>
                <w:sz w:val="24"/>
                <w:szCs w:val="24"/>
              </w:rPr>
            </w:pPr>
            <w:r w:rsidRPr="002C59E7">
              <w:rPr>
                <w:rFonts w:ascii="Times New Roman" w:eastAsia="仿宋" w:hAnsi="Times New Roman"/>
                <w:sz w:val="24"/>
                <w:szCs w:val="24"/>
              </w:rPr>
              <w:t>中国石油国际事业日本</w:t>
            </w:r>
            <w:r w:rsidR="00554175">
              <w:rPr>
                <w:rFonts w:ascii="Times New Roman" w:eastAsia="仿宋" w:hAnsi="Times New Roman"/>
                <w:sz w:val="24"/>
                <w:szCs w:val="24"/>
              </w:rPr>
              <w:t>株式</w:t>
            </w:r>
            <w:r w:rsidR="00554175">
              <w:rPr>
                <w:rFonts w:ascii="Times New Roman" w:eastAsia="仿宋" w:hAnsi="Times New Roman" w:hint="eastAsia"/>
                <w:sz w:val="24"/>
                <w:szCs w:val="24"/>
              </w:rPr>
              <w:t>会社收购</w:t>
            </w:r>
            <w:r w:rsidRPr="002C59E7">
              <w:rPr>
                <w:rFonts w:ascii="Times New Roman" w:eastAsia="仿宋" w:hAnsi="Times New Roman" w:hint="eastAsia"/>
                <w:bCs/>
                <w:sz w:val="24"/>
                <w:szCs w:val="24"/>
              </w:rPr>
              <w:t>引能仕株式会社</w:t>
            </w:r>
            <w:r>
              <w:rPr>
                <w:rFonts w:ascii="Times New Roman" w:eastAsia="仿宋" w:hAnsi="Times New Roman" w:hint="eastAsia"/>
                <w:sz w:val="24"/>
                <w:szCs w:val="24"/>
              </w:rPr>
              <w:t>部分</w:t>
            </w:r>
            <w:r w:rsidR="00554175">
              <w:rPr>
                <w:rFonts w:ascii="Times New Roman" w:eastAsia="仿宋" w:hAnsi="Times New Roman" w:hint="eastAsia"/>
                <w:sz w:val="24"/>
                <w:szCs w:val="24"/>
              </w:rPr>
              <w:t>业务案</w:t>
            </w:r>
          </w:p>
        </w:tc>
      </w:tr>
      <w:tr w:rsidR="009C55EB" w14:paraId="1C2DD0AD" w14:textId="77777777" w:rsidTr="00EE7E5D">
        <w:trPr>
          <w:trHeight w:val="993"/>
        </w:trPr>
        <w:tc>
          <w:tcPr>
            <w:tcW w:w="2098" w:type="dxa"/>
            <w:shd w:val="clear" w:color="auto" w:fill="D9D9D9"/>
            <w:vAlign w:val="center"/>
          </w:tcPr>
          <w:p w14:paraId="228490C3"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交易概况（限</w:t>
            </w:r>
            <w:r>
              <w:rPr>
                <w:rFonts w:ascii="Times New Roman" w:eastAsia="仿宋" w:hAnsi="Times New Roman" w:hint="eastAsia"/>
                <w:b/>
                <w:sz w:val="24"/>
                <w:szCs w:val="24"/>
              </w:rPr>
              <w:t>200</w:t>
            </w:r>
            <w:r>
              <w:rPr>
                <w:rFonts w:ascii="Times New Roman" w:eastAsia="仿宋" w:hAnsi="Times New Roman" w:hint="eastAsia"/>
                <w:b/>
                <w:sz w:val="24"/>
                <w:szCs w:val="24"/>
              </w:rPr>
              <w:t>字内）</w:t>
            </w:r>
          </w:p>
        </w:tc>
        <w:tc>
          <w:tcPr>
            <w:tcW w:w="6949" w:type="dxa"/>
            <w:gridSpan w:val="2"/>
          </w:tcPr>
          <w:p w14:paraId="52B245D5" w14:textId="0F9CAE0B" w:rsidR="009C55EB" w:rsidRDefault="00554175">
            <w:pPr>
              <w:widowControl/>
              <w:snapToGrid w:val="0"/>
              <w:jc w:val="left"/>
              <w:rPr>
                <w:rFonts w:ascii="Times New Roman" w:eastAsia="仿宋" w:hAnsi="Times New Roman"/>
                <w:bCs/>
                <w:sz w:val="24"/>
                <w:szCs w:val="24"/>
              </w:rPr>
            </w:pPr>
            <w:r>
              <w:rPr>
                <w:rFonts w:ascii="Times New Roman" w:eastAsia="仿宋" w:hAnsi="Times New Roman" w:hint="eastAsia"/>
                <w:bCs/>
                <w:sz w:val="24"/>
                <w:szCs w:val="24"/>
              </w:rPr>
              <w:t>本交易系大阪国际石油精制株式会社（“</w:t>
            </w:r>
            <w:r>
              <w:rPr>
                <w:rFonts w:ascii="Times New Roman" w:eastAsia="仿宋" w:hAnsi="Times New Roman" w:hint="eastAsia"/>
                <w:b/>
                <w:bCs/>
                <w:sz w:val="24"/>
                <w:szCs w:val="24"/>
              </w:rPr>
              <w:t>大阪国际石油</w:t>
            </w:r>
            <w:r>
              <w:rPr>
                <w:rFonts w:ascii="Times New Roman" w:eastAsia="仿宋" w:hAnsi="Times New Roman" w:hint="eastAsia"/>
                <w:bCs/>
                <w:sz w:val="24"/>
                <w:szCs w:val="24"/>
              </w:rPr>
              <w:t>”）拟</w:t>
            </w:r>
            <w:r>
              <w:rPr>
                <w:rFonts w:ascii="Times New Roman" w:eastAsia="仿宋" w:hAnsi="Times New Roman"/>
                <w:bCs/>
                <w:sz w:val="24"/>
                <w:szCs w:val="24"/>
              </w:rPr>
              <w:t>通过日本法项下吸收分立</w:t>
            </w:r>
            <w:r>
              <w:rPr>
                <w:rFonts w:ascii="Times New Roman" w:eastAsia="仿宋" w:hAnsi="Times New Roman" w:hint="eastAsia"/>
                <w:bCs/>
                <w:sz w:val="24"/>
                <w:szCs w:val="24"/>
              </w:rPr>
              <w:t>的方式，承继引能仕株式会社（“</w:t>
            </w:r>
            <w:r>
              <w:rPr>
                <w:rFonts w:ascii="Times New Roman" w:eastAsia="仿宋" w:hAnsi="Times New Roman" w:hint="eastAsia"/>
                <w:b/>
                <w:bCs/>
                <w:sz w:val="24"/>
                <w:szCs w:val="24"/>
              </w:rPr>
              <w:t>引能仕</w:t>
            </w:r>
            <w:r>
              <w:rPr>
                <w:rFonts w:ascii="Times New Roman" w:eastAsia="仿宋" w:hAnsi="Times New Roman" w:hint="eastAsia"/>
                <w:bCs/>
                <w:sz w:val="24"/>
                <w:szCs w:val="24"/>
              </w:rPr>
              <w:t>”）在千叶炼油厂的石油制品等制造业务及其附带业务的相关权利义务（以下简称“</w:t>
            </w:r>
            <w:r>
              <w:rPr>
                <w:rFonts w:ascii="Times New Roman" w:eastAsia="仿宋" w:hAnsi="Times New Roman" w:hint="eastAsia"/>
                <w:b/>
                <w:bCs/>
                <w:sz w:val="24"/>
                <w:szCs w:val="24"/>
              </w:rPr>
              <w:t>目标业务</w:t>
            </w:r>
            <w:r>
              <w:rPr>
                <w:rFonts w:ascii="Times New Roman" w:eastAsia="仿宋" w:hAnsi="Times New Roman" w:hint="eastAsia"/>
                <w:bCs/>
                <w:sz w:val="24"/>
                <w:szCs w:val="24"/>
              </w:rPr>
              <w:t>”）。大阪国际石油系引能仕与</w:t>
            </w:r>
            <w:r>
              <w:rPr>
                <w:rFonts w:ascii="Times New Roman" w:eastAsia="仿宋" w:hAnsi="Times New Roman"/>
                <w:sz w:val="24"/>
                <w:szCs w:val="24"/>
              </w:rPr>
              <w:t>中国石油国际事业日本株式会社</w:t>
            </w:r>
            <w:r>
              <w:rPr>
                <w:rFonts w:ascii="Times New Roman" w:eastAsia="仿宋" w:hAnsi="Times New Roman" w:hint="eastAsia"/>
                <w:sz w:val="24"/>
                <w:szCs w:val="24"/>
              </w:rPr>
              <w:t>（“</w:t>
            </w:r>
            <w:r w:rsidR="002C59E7">
              <w:rPr>
                <w:rFonts w:ascii="Times New Roman" w:eastAsia="仿宋" w:hAnsi="Times New Roman" w:hint="eastAsia"/>
                <w:b/>
                <w:bCs/>
                <w:sz w:val="24"/>
                <w:szCs w:val="24"/>
              </w:rPr>
              <w:t>中国石油国际事业（日本）</w:t>
            </w:r>
            <w:r>
              <w:rPr>
                <w:rFonts w:ascii="Times New Roman" w:eastAsia="仿宋" w:hAnsi="Times New Roman" w:hint="eastAsia"/>
                <w:sz w:val="24"/>
                <w:szCs w:val="24"/>
              </w:rPr>
              <w:t>”）的合资公司。</w:t>
            </w:r>
            <w:r>
              <w:rPr>
                <w:rFonts w:ascii="Times New Roman" w:eastAsia="仿宋" w:hAnsi="Times New Roman" w:hint="eastAsia"/>
                <w:bCs/>
                <w:sz w:val="24"/>
                <w:szCs w:val="24"/>
              </w:rPr>
              <w:t>本交易前，引能仕单独控制目标业务。</w:t>
            </w:r>
            <w:bookmarkStart w:id="0" w:name="_Hlk53573302"/>
            <w:r>
              <w:rPr>
                <w:rFonts w:ascii="Times New Roman" w:eastAsia="仿宋" w:hAnsi="Times New Roman" w:hint="eastAsia"/>
                <w:bCs/>
                <w:sz w:val="24"/>
                <w:szCs w:val="24"/>
              </w:rPr>
              <w:t>本交易后，引能仕和</w:t>
            </w:r>
            <w:r w:rsidR="002C59E7">
              <w:rPr>
                <w:rFonts w:ascii="Times New Roman" w:eastAsia="仿宋" w:hAnsi="Times New Roman" w:hint="eastAsia"/>
                <w:bCs/>
                <w:sz w:val="24"/>
                <w:szCs w:val="24"/>
              </w:rPr>
              <w:t>中国石油国际事业（日本）</w:t>
            </w:r>
            <w:r>
              <w:rPr>
                <w:rFonts w:ascii="Times New Roman" w:eastAsia="仿宋" w:hAnsi="Times New Roman" w:hint="eastAsia"/>
                <w:bCs/>
                <w:sz w:val="24"/>
                <w:szCs w:val="24"/>
              </w:rPr>
              <w:t>通过大阪国际石油共同控制目标业务。</w:t>
            </w:r>
            <w:bookmarkEnd w:id="0"/>
          </w:p>
        </w:tc>
      </w:tr>
      <w:tr w:rsidR="009C55EB" w14:paraId="4B72791C" w14:textId="77777777" w:rsidTr="00EE7E5D">
        <w:trPr>
          <w:trHeight w:val="468"/>
        </w:trPr>
        <w:tc>
          <w:tcPr>
            <w:tcW w:w="2098" w:type="dxa"/>
            <w:vMerge w:val="restart"/>
            <w:shd w:val="clear" w:color="auto" w:fill="D9D9D9"/>
            <w:vAlign w:val="center"/>
          </w:tcPr>
          <w:p w14:paraId="24AB3D96"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参与集中的经营者简介</w:t>
            </w:r>
          </w:p>
        </w:tc>
        <w:tc>
          <w:tcPr>
            <w:tcW w:w="1796" w:type="dxa"/>
            <w:vAlign w:val="center"/>
          </w:tcPr>
          <w:p w14:paraId="58667AEF" w14:textId="77777777" w:rsidR="009C55EB" w:rsidRDefault="00554175">
            <w:pPr>
              <w:rPr>
                <w:rFonts w:ascii="Times New Roman" w:eastAsia="仿宋" w:hAnsi="Times New Roman" w:cs="宋体"/>
                <w:kern w:val="0"/>
                <w:sz w:val="24"/>
                <w:szCs w:val="24"/>
              </w:rPr>
            </w:pPr>
            <w:r>
              <w:rPr>
                <w:rFonts w:ascii="Times New Roman" w:eastAsia="仿宋" w:hAnsi="Times New Roman" w:hint="eastAsia"/>
                <w:sz w:val="24"/>
                <w:szCs w:val="24"/>
              </w:rPr>
              <w:t>1</w:t>
            </w:r>
            <w:r>
              <w:rPr>
                <w:rFonts w:ascii="Times New Roman" w:eastAsia="仿宋" w:hAnsi="Times New Roman" w:hint="eastAsia"/>
                <w:sz w:val="24"/>
                <w:szCs w:val="24"/>
              </w:rPr>
              <w:t>、引能仕</w:t>
            </w:r>
          </w:p>
        </w:tc>
        <w:tc>
          <w:tcPr>
            <w:tcW w:w="5153" w:type="dxa"/>
          </w:tcPr>
          <w:p w14:paraId="6E86FBB0" w14:textId="25886CEA" w:rsidR="009C55EB" w:rsidRDefault="00554175">
            <w:pPr>
              <w:rPr>
                <w:rFonts w:ascii="Times New Roman" w:eastAsia="仿宋" w:hAnsi="Times New Roman"/>
                <w:sz w:val="24"/>
                <w:szCs w:val="24"/>
              </w:rPr>
            </w:pPr>
            <w:r>
              <w:rPr>
                <w:rFonts w:ascii="Times New Roman" w:eastAsia="仿宋" w:hAnsi="Times New Roman" w:hint="eastAsia"/>
                <w:sz w:val="24"/>
                <w:szCs w:val="24"/>
              </w:rPr>
              <w:t>引能仕的主要业务包括</w:t>
            </w:r>
            <w:r>
              <w:rPr>
                <w:rFonts w:ascii="Times New Roman" w:eastAsia="仿宋" w:hAnsi="Times New Roman"/>
                <w:sz w:val="24"/>
                <w:szCs w:val="24"/>
              </w:rPr>
              <w:t>石油产品（汽油、</w:t>
            </w:r>
            <w:r>
              <w:rPr>
                <w:rFonts w:ascii="Times New Roman" w:eastAsia="仿宋" w:hAnsi="Times New Roman" w:hint="eastAsia"/>
                <w:sz w:val="24"/>
                <w:szCs w:val="24"/>
              </w:rPr>
              <w:t>煤油</w:t>
            </w:r>
            <w:r>
              <w:rPr>
                <w:rFonts w:ascii="Times New Roman" w:eastAsia="仿宋" w:hAnsi="Times New Roman"/>
                <w:sz w:val="24"/>
                <w:szCs w:val="24"/>
              </w:rPr>
              <w:t>、润滑油等）的精制与销售、天然气、煤炭等的进口与销售、石油化学产品等的制造与销售、</w:t>
            </w:r>
            <w:r>
              <w:rPr>
                <w:rFonts w:ascii="Times New Roman" w:eastAsia="仿宋" w:hAnsi="Times New Roman" w:hint="eastAsia"/>
                <w:sz w:val="24"/>
                <w:szCs w:val="24"/>
              </w:rPr>
              <w:t>电力与氢气的供应。其最终控制人引能仕控股株式会社</w:t>
            </w:r>
            <w:r w:rsidR="007A3088">
              <w:rPr>
                <w:rFonts w:ascii="Times New Roman" w:eastAsia="仿宋" w:hAnsi="Times New Roman" w:hint="eastAsia"/>
                <w:sz w:val="24"/>
                <w:szCs w:val="24"/>
              </w:rPr>
              <w:t>的</w:t>
            </w:r>
            <w:r>
              <w:rPr>
                <w:rFonts w:ascii="Times New Roman" w:eastAsia="仿宋" w:hAnsi="Times New Roman" w:hint="eastAsia"/>
                <w:sz w:val="24"/>
                <w:szCs w:val="24"/>
              </w:rPr>
              <w:t>主要</w:t>
            </w:r>
            <w:bookmarkStart w:id="1" w:name="_Hlk54047597"/>
            <w:r>
              <w:rPr>
                <w:rFonts w:ascii="Times New Roman" w:eastAsia="仿宋" w:hAnsi="Times New Roman" w:hint="eastAsia"/>
                <w:sz w:val="24"/>
                <w:szCs w:val="24"/>
              </w:rPr>
              <w:t>业务包括</w:t>
            </w:r>
            <w:r>
              <w:rPr>
                <w:rFonts w:ascii="Times New Roman" w:eastAsia="仿宋" w:hAnsi="Times New Roman"/>
                <w:sz w:val="24"/>
                <w:szCs w:val="24"/>
              </w:rPr>
              <w:t>能源</w:t>
            </w:r>
            <w:r>
              <w:rPr>
                <w:rFonts w:ascii="Times New Roman" w:eastAsia="仿宋" w:hAnsi="Times New Roman" w:hint="eastAsia"/>
                <w:sz w:val="24"/>
                <w:szCs w:val="24"/>
              </w:rPr>
              <w:t>业务</w:t>
            </w:r>
            <w:r>
              <w:rPr>
                <w:rFonts w:ascii="Times New Roman" w:eastAsia="仿宋" w:hAnsi="Times New Roman"/>
                <w:sz w:val="24"/>
                <w:szCs w:val="24"/>
              </w:rPr>
              <w:t>、石油</w:t>
            </w:r>
            <w:r>
              <w:rPr>
                <w:rFonts w:ascii="Times New Roman" w:eastAsia="仿宋" w:hAnsi="Times New Roman" w:hint="eastAsia"/>
                <w:sz w:val="24"/>
                <w:szCs w:val="24"/>
              </w:rPr>
              <w:t>及</w:t>
            </w:r>
            <w:r>
              <w:rPr>
                <w:rFonts w:ascii="Times New Roman" w:eastAsia="仿宋" w:hAnsi="Times New Roman"/>
                <w:sz w:val="24"/>
                <w:szCs w:val="24"/>
              </w:rPr>
              <w:t>天然气开发</w:t>
            </w:r>
            <w:r>
              <w:rPr>
                <w:rFonts w:ascii="Times New Roman" w:eastAsia="仿宋" w:hAnsi="Times New Roman" w:hint="eastAsia"/>
                <w:sz w:val="24"/>
                <w:szCs w:val="24"/>
              </w:rPr>
              <w:t>业务</w:t>
            </w:r>
            <w:r>
              <w:rPr>
                <w:rFonts w:ascii="Times New Roman" w:eastAsia="仿宋" w:hAnsi="Times New Roman"/>
                <w:sz w:val="24"/>
                <w:szCs w:val="24"/>
              </w:rPr>
              <w:t>、金属</w:t>
            </w:r>
            <w:r>
              <w:rPr>
                <w:rFonts w:ascii="Times New Roman" w:eastAsia="仿宋" w:hAnsi="Times New Roman" w:hint="eastAsia"/>
                <w:sz w:val="24"/>
                <w:szCs w:val="24"/>
              </w:rPr>
              <w:t>业务</w:t>
            </w:r>
            <w:bookmarkEnd w:id="1"/>
            <w:r>
              <w:rPr>
                <w:rFonts w:ascii="Times New Roman" w:eastAsia="仿宋" w:hAnsi="Times New Roman" w:hint="eastAsia"/>
                <w:sz w:val="24"/>
                <w:szCs w:val="24"/>
              </w:rPr>
              <w:t>。</w:t>
            </w:r>
          </w:p>
        </w:tc>
      </w:tr>
      <w:tr w:rsidR="009C55EB" w14:paraId="0D87AC4F" w14:textId="77777777" w:rsidTr="00EE7E5D">
        <w:trPr>
          <w:trHeight w:val="404"/>
        </w:trPr>
        <w:tc>
          <w:tcPr>
            <w:tcW w:w="2098" w:type="dxa"/>
            <w:vMerge/>
            <w:shd w:val="clear" w:color="auto" w:fill="D9D9D9"/>
            <w:vAlign w:val="center"/>
          </w:tcPr>
          <w:p w14:paraId="019D0FDA" w14:textId="77777777" w:rsidR="009C55EB" w:rsidRDefault="009C55EB">
            <w:pPr>
              <w:jc w:val="center"/>
              <w:rPr>
                <w:rFonts w:ascii="Times New Roman" w:eastAsia="仿宋" w:hAnsi="Times New Roman"/>
                <w:b/>
                <w:sz w:val="24"/>
                <w:szCs w:val="24"/>
              </w:rPr>
            </w:pPr>
          </w:p>
        </w:tc>
        <w:tc>
          <w:tcPr>
            <w:tcW w:w="1796" w:type="dxa"/>
            <w:vAlign w:val="center"/>
          </w:tcPr>
          <w:p w14:paraId="0175C829" w14:textId="2130DDE6" w:rsidR="009C55EB" w:rsidRDefault="00554175">
            <w:pPr>
              <w:rPr>
                <w:rFonts w:ascii="Times New Roman" w:eastAsia="仿宋" w:hAnsi="Times New Roman"/>
                <w:sz w:val="24"/>
                <w:szCs w:val="24"/>
              </w:rPr>
            </w:pPr>
            <w:r>
              <w:rPr>
                <w:rFonts w:ascii="Times New Roman" w:eastAsia="仿宋" w:hAnsi="Times New Roman" w:hint="eastAsia"/>
                <w:sz w:val="24"/>
                <w:szCs w:val="24"/>
              </w:rPr>
              <w:t>2</w:t>
            </w:r>
            <w:r>
              <w:rPr>
                <w:rFonts w:ascii="Times New Roman" w:eastAsia="仿宋" w:hAnsi="Times New Roman" w:hint="eastAsia"/>
                <w:sz w:val="24"/>
                <w:szCs w:val="24"/>
              </w:rPr>
              <w:t>、中国石油</w:t>
            </w:r>
            <w:r w:rsidR="002C59E7">
              <w:rPr>
                <w:rFonts w:ascii="Times New Roman" w:eastAsia="仿宋" w:hAnsi="Times New Roman" w:hint="eastAsia"/>
                <w:sz w:val="24"/>
                <w:szCs w:val="24"/>
              </w:rPr>
              <w:t>国际事业</w:t>
            </w:r>
            <w:r>
              <w:rPr>
                <w:rFonts w:ascii="Times New Roman" w:eastAsia="仿宋" w:hAnsi="Times New Roman" w:hint="eastAsia"/>
                <w:sz w:val="24"/>
                <w:szCs w:val="24"/>
              </w:rPr>
              <w:t>（日本）</w:t>
            </w:r>
          </w:p>
        </w:tc>
        <w:tc>
          <w:tcPr>
            <w:tcW w:w="5153" w:type="dxa"/>
          </w:tcPr>
          <w:p w14:paraId="1E8C7596" w14:textId="11A1C63F" w:rsidR="009C55EB" w:rsidRDefault="002C59E7">
            <w:pPr>
              <w:widowControl/>
              <w:snapToGrid w:val="0"/>
              <w:rPr>
                <w:rFonts w:ascii="Times New Roman" w:eastAsia="仿宋" w:hAnsi="Times New Roman" w:cs="宋体"/>
                <w:spacing w:val="-4"/>
                <w:sz w:val="24"/>
                <w:szCs w:val="24"/>
              </w:rPr>
            </w:pPr>
            <w:r>
              <w:rPr>
                <w:rFonts w:ascii="Times New Roman" w:eastAsia="仿宋" w:hAnsi="Times New Roman" w:cs="宋体" w:hint="eastAsia"/>
                <w:spacing w:val="-4"/>
                <w:sz w:val="24"/>
                <w:szCs w:val="24"/>
              </w:rPr>
              <w:t>中国石油国际事业（日本）</w:t>
            </w:r>
            <w:r w:rsidR="00554175">
              <w:rPr>
                <w:rFonts w:ascii="Times New Roman" w:eastAsia="仿宋" w:hAnsi="Times New Roman" w:cs="宋体" w:hint="eastAsia"/>
                <w:spacing w:val="-4"/>
                <w:sz w:val="24"/>
                <w:szCs w:val="24"/>
              </w:rPr>
              <w:t>的主要业务包括</w:t>
            </w:r>
            <w:r w:rsidR="00FC66B6" w:rsidRPr="00FC66B6">
              <w:rPr>
                <w:rFonts w:ascii="Times New Roman" w:eastAsia="仿宋" w:hAnsi="Times New Roman" w:hint="eastAsia"/>
                <w:sz w:val="24"/>
                <w:szCs w:val="24"/>
              </w:rPr>
              <w:t>石油、天然气等矿产资源及副产品的精制、生产、加工、储存、进出口、买卖、中介、受托销售和运输等</w:t>
            </w:r>
            <w:r w:rsidR="00554175" w:rsidRPr="00FC66B6">
              <w:rPr>
                <w:rFonts w:ascii="Times New Roman" w:eastAsia="仿宋" w:hAnsi="Times New Roman" w:hint="eastAsia"/>
                <w:sz w:val="24"/>
                <w:szCs w:val="24"/>
              </w:rPr>
              <w:t>。</w:t>
            </w:r>
            <w:r w:rsidR="00554175">
              <w:rPr>
                <w:rFonts w:ascii="Times New Roman" w:eastAsia="仿宋" w:hAnsi="Times New Roman" w:cs="宋体" w:hint="eastAsia"/>
                <w:spacing w:val="-4"/>
                <w:sz w:val="24"/>
                <w:szCs w:val="24"/>
              </w:rPr>
              <w:t>其最终控制人中国石油天然气集团有限公司的主要业务包括国内外石油天然气勘探开发、炼油化工、油气销售、管道运输、国际贸易、工程技术服务、工程建设、装备制造、金融服务、新能源开发等。</w:t>
            </w:r>
          </w:p>
        </w:tc>
      </w:tr>
      <w:tr w:rsidR="009C55EB" w14:paraId="7D674ACF" w14:textId="77777777" w:rsidTr="00EE7E5D">
        <w:trPr>
          <w:trHeight w:val="279"/>
        </w:trPr>
        <w:tc>
          <w:tcPr>
            <w:tcW w:w="2098" w:type="dxa"/>
            <w:vMerge w:val="restart"/>
            <w:shd w:val="clear" w:color="auto" w:fill="D9D9D9"/>
            <w:vAlign w:val="center"/>
          </w:tcPr>
          <w:p w14:paraId="28EA0F5B"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简易案件理由（可多选）</w:t>
            </w:r>
          </w:p>
        </w:tc>
        <w:tc>
          <w:tcPr>
            <w:tcW w:w="6949" w:type="dxa"/>
            <w:gridSpan w:val="2"/>
          </w:tcPr>
          <w:p w14:paraId="365BDE2E"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sym w:font="Wingdings" w:char="F0FE"/>
            </w:r>
            <w:r>
              <w:rPr>
                <w:rFonts w:ascii="Times New Roman" w:eastAsia="仿宋" w:hAnsi="Times New Roman" w:hint="eastAsia"/>
                <w:sz w:val="24"/>
                <w:szCs w:val="24"/>
              </w:rPr>
              <w:t>1</w:t>
            </w:r>
            <w:r>
              <w:rPr>
                <w:rFonts w:ascii="Times New Roman" w:eastAsia="仿宋" w:hAnsi="Times New Roman" w:hint="eastAsia"/>
                <w:sz w:val="24"/>
                <w:szCs w:val="24"/>
              </w:rPr>
              <w:t>、在同一相关市场，所有参与集中的经营者所占市场份额之和小于</w:t>
            </w:r>
            <w:r>
              <w:rPr>
                <w:rFonts w:ascii="Times New Roman" w:eastAsia="仿宋" w:hAnsi="Times New Roman" w:hint="eastAsia"/>
                <w:sz w:val="24"/>
                <w:szCs w:val="24"/>
              </w:rPr>
              <w:t>15%</w:t>
            </w:r>
            <w:r>
              <w:rPr>
                <w:rFonts w:ascii="Times New Roman" w:eastAsia="仿宋" w:hAnsi="Times New Roman" w:hint="eastAsia"/>
                <w:sz w:val="24"/>
                <w:szCs w:val="24"/>
              </w:rPr>
              <w:t>。</w:t>
            </w:r>
          </w:p>
        </w:tc>
      </w:tr>
      <w:tr w:rsidR="009C55EB" w14:paraId="27EE87D6" w14:textId="77777777" w:rsidTr="00EE7E5D">
        <w:trPr>
          <w:trHeight w:val="330"/>
        </w:trPr>
        <w:tc>
          <w:tcPr>
            <w:tcW w:w="2098" w:type="dxa"/>
            <w:vMerge/>
            <w:shd w:val="clear" w:color="auto" w:fill="D9D9D9"/>
            <w:vAlign w:val="center"/>
          </w:tcPr>
          <w:p w14:paraId="7EADE347" w14:textId="77777777" w:rsidR="009C55EB" w:rsidRDefault="009C55EB">
            <w:pPr>
              <w:jc w:val="center"/>
              <w:rPr>
                <w:rFonts w:ascii="Times New Roman" w:eastAsia="仿宋" w:hAnsi="Times New Roman"/>
                <w:b/>
                <w:sz w:val="24"/>
                <w:szCs w:val="24"/>
              </w:rPr>
            </w:pPr>
          </w:p>
        </w:tc>
        <w:tc>
          <w:tcPr>
            <w:tcW w:w="6949" w:type="dxa"/>
            <w:gridSpan w:val="2"/>
          </w:tcPr>
          <w:p w14:paraId="6FF51333"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sym w:font="Wingdings" w:char="F0FE"/>
            </w:r>
            <w:r>
              <w:rPr>
                <w:rFonts w:ascii="Times New Roman" w:eastAsia="仿宋" w:hAnsi="Times New Roman" w:hint="eastAsia"/>
                <w:sz w:val="24"/>
                <w:szCs w:val="24"/>
              </w:rPr>
              <w:t>2</w:t>
            </w:r>
            <w:r>
              <w:rPr>
                <w:rFonts w:ascii="Times New Roman" w:eastAsia="仿宋" w:hAnsi="Times New Roman" w:hint="eastAsia"/>
                <w:sz w:val="24"/>
                <w:szCs w:val="24"/>
              </w:rPr>
              <w:t>、存在上下游关系的参与集中的经营者，在上下游市场所占的市场份额均小于</w:t>
            </w:r>
            <w:r>
              <w:rPr>
                <w:rFonts w:ascii="Times New Roman" w:eastAsia="仿宋" w:hAnsi="Times New Roman" w:hint="eastAsia"/>
                <w:sz w:val="24"/>
                <w:szCs w:val="24"/>
              </w:rPr>
              <w:t>25%</w:t>
            </w:r>
            <w:r>
              <w:rPr>
                <w:rFonts w:ascii="Times New Roman" w:eastAsia="仿宋" w:hAnsi="Times New Roman" w:hint="eastAsia"/>
                <w:sz w:val="24"/>
                <w:szCs w:val="24"/>
              </w:rPr>
              <w:t>。</w:t>
            </w:r>
          </w:p>
        </w:tc>
      </w:tr>
      <w:tr w:rsidR="009C55EB" w14:paraId="2CE72D9A" w14:textId="77777777" w:rsidTr="00EE7E5D">
        <w:trPr>
          <w:trHeight w:val="285"/>
        </w:trPr>
        <w:tc>
          <w:tcPr>
            <w:tcW w:w="2098" w:type="dxa"/>
            <w:vMerge/>
            <w:shd w:val="clear" w:color="auto" w:fill="D9D9D9"/>
            <w:vAlign w:val="center"/>
          </w:tcPr>
          <w:p w14:paraId="04DDDD69" w14:textId="77777777" w:rsidR="009C55EB" w:rsidRDefault="009C55EB">
            <w:pPr>
              <w:jc w:val="center"/>
              <w:rPr>
                <w:rFonts w:ascii="Times New Roman" w:eastAsia="仿宋" w:hAnsi="Times New Roman"/>
                <w:b/>
                <w:sz w:val="24"/>
                <w:szCs w:val="24"/>
              </w:rPr>
            </w:pPr>
          </w:p>
        </w:tc>
        <w:tc>
          <w:tcPr>
            <w:tcW w:w="6949" w:type="dxa"/>
            <w:gridSpan w:val="2"/>
          </w:tcPr>
          <w:p w14:paraId="4E83AF41"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3</w:t>
            </w:r>
            <w:r>
              <w:rPr>
                <w:rFonts w:ascii="Times New Roman" w:eastAsia="仿宋" w:hAnsi="Times New Roman" w:hint="eastAsia"/>
                <w:sz w:val="24"/>
                <w:szCs w:val="24"/>
              </w:rPr>
              <w:t>、不在同一相关市场、也不存在上下游关系的参与集中的经营者，在与交易有关的每个市场所占的份额均小于</w:t>
            </w:r>
            <w:r>
              <w:rPr>
                <w:rFonts w:ascii="Times New Roman" w:eastAsia="仿宋" w:hAnsi="Times New Roman" w:hint="eastAsia"/>
                <w:sz w:val="24"/>
                <w:szCs w:val="24"/>
              </w:rPr>
              <w:t>25%</w:t>
            </w:r>
            <w:r>
              <w:rPr>
                <w:rFonts w:ascii="Times New Roman" w:eastAsia="仿宋" w:hAnsi="Times New Roman" w:hint="eastAsia"/>
                <w:sz w:val="24"/>
                <w:szCs w:val="24"/>
              </w:rPr>
              <w:t>。</w:t>
            </w:r>
          </w:p>
        </w:tc>
      </w:tr>
      <w:tr w:rsidR="009C55EB" w14:paraId="47FCD862" w14:textId="77777777" w:rsidTr="00EE7E5D">
        <w:trPr>
          <w:trHeight w:val="653"/>
        </w:trPr>
        <w:tc>
          <w:tcPr>
            <w:tcW w:w="2098" w:type="dxa"/>
            <w:vMerge/>
            <w:shd w:val="clear" w:color="auto" w:fill="D9D9D9"/>
            <w:vAlign w:val="center"/>
          </w:tcPr>
          <w:p w14:paraId="3BCD3062" w14:textId="77777777" w:rsidR="009C55EB" w:rsidRDefault="009C55EB">
            <w:pPr>
              <w:jc w:val="center"/>
              <w:rPr>
                <w:rFonts w:ascii="Times New Roman" w:eastAsia="仿宋" w:hAnsi="Times New Roman"/>
                <w:b/>
                <w:sz w:val="24"/>
                <w:szCs w:val="24"/>
              </w:rPr>
            </w:pPr>
          </w:p>
        </w:tc>
        <w:tc>
          <w:tcPr>
            <w:tcW w:w="6949" w:type="dxa"/>
            <w:gridSpan w:val="2"/>
          </w:tcPr>
          <w:p w14:paraId="49C5E55C"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4</w:t>
            </w:r>
            <w:r>
              <w:rPr>
                <w:rFonts w:ascii="Times New Roman" w:eastAsia="仿宋" w:hAnsi="Times New Roman" w:hint="eastAsia"/>
                <w:sz w:val="24"/>
                <w:szCs w:val="24"/>
              </w:rPr>
              <w:t>、参与集中的经营者在中国境外设立合营企业，合营企业不在中国境内从事经济活动。</w:t>
            </w:r>
          </w:p>
        </w:tc>
      </w:tr>
      <w:tr w:rsidR="009C55EB" w14:paraId="108FF410" w14:textId="77777777" w:rsidTr="00EE7E5D">
        <w:trPr>
          <w:trHeight w:val="264"/>
        </w:trPr>
        <w:tc>
          <w:tcPr>
            <w:tcW w:w="2098" w:type="dxa"/>
            <w:vMerge/>
            <w:shd w:val="clear" w:color="auto" w:fill="D9D9D9"/>
            <w:vAlign w:val="center"/>
          </w:tcPr>
          <w:p w14:paraId="4A05F8E6" w14:textId="77777777" w:rsidR="009C55EB" w:rsidRDefault="009C55EB">
            <w:pPr>
              <w:jc w:val="center"/>
              <w:rPr>
                <w:rFonts w:ascii="Times New Roman" w:eastAsia="仿宋" w:hAnsi="Times New Roman"/>
                <w:b/>
                <w:sz w:val="24"/>
                <w:szCs w:val="24"/>
              </w:rPr>
            </w:pPr>
          </w:p>
        </w:tc>
        <w:tc>
          <w:tcPr>
            <w:tcW w:w="6949" w:type="dxa"/>
            <w:gridSpan w:val="2"/>
          </w:tcPr>
          <w:p w14:paraId="622A6C77"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5</w:t>
            </w:r>
            <w:r>
              <w:rPr>
                <w:rFonts w:ascii="Times New Roman" w:eastAsia="仿宋" w:hAnsi="Times New Roman" w:hint="eastAsia"/>
                <w:sz w:val="24"/>
                <w:szCs w:val="24"/>
              </w:rPr>
              <w:t>、参与集中的经营者收购境外企业股权或资产的，该境外企业不在中国境内从事经济活动。</w:t>
            </w:r>
          </w:p>
        </w:tc>
      </w:tr>
      <w:tr w:rsidR="009C55EB" w14:paraId="3C3E7B5C" w14:textId="77777777" w:rsidTr="00EE7E5D">
        <w:trPr>
          <w:trHeight w:val="345"/>
        </w:trPr>
        <w:tc>
          <w:tcPr>
            <w:tcW w:w="2098" w:type="dxa"/>
            <w:vMerge/>
            <w:shd w:val="clear" w:color="auto" w:fill="D9D9D9"/>
            <w:vAlign w:val="center"/>
          </w:tcPr>
          <w:p w14:paraId="7D92D3B0" w14:textId="77777777" w:rsidR="009C55EB" w:rsidRDefault="009C55EB">
            <w:pPr>
              <w:jc w:val="center"/>
              <w:rPr>
                <w:rFonts w:ascii="Times New Roman" w:eastAsia="仿宋" w:hAnsi="Times New Roman"/>
                <w:b/>
                <w:sz w:val="24"/>
                <w:szCs w:val="24"/>
              </w:rPr>
            </w:pPr>
          </w:p>
        </w:tc>
        <w:tc>
          <w:tcPr>
            <w:tcW w:w="6949" w:type="dxa"/>
            <w:gridSpan w:val="2"/>
          </w:tcPr>
          <w:p w14:paraId="04D00AE4" w14:textId="77777777" w:rsidR="009C55EB" w:rsidRDefault="00554175">
            <w:pPr>
              <w:rPr>
                <w:rFonts w:ascii="Times New Roman" w:eastAsia="仿宋" w:hAnsi="Times New Roman"/>
                <w:sz w:val="24"/>
                <w:szCs w:val="24"/>
              </w:rPr>
            </w:pPr>
            <w:r>
              <w:rPr>
                <w:rFonts w:ascii="Times New Roman" w:eastAsia="仿宋" w:hAnsi="Times New Roman" w:hint="eastAsia"/>
                <w:sz w:val="24"/>
                <w:szCs w:val="24"/>
              </w:rPr>
              <w:t>□</w:t>
            </w:r>
            <w:r>
              <w:rPr>
                <w:rFonts w:ascii="Times New Roman" w:eastAsia="仿宋" w:hAnsi="Times New Roman" w:hint="eastAsia"/>
                <w:sz w:val="24"/>
                <w:szCs w:val="24"/>
              </w:rPr>
              <w:t>6</w:t>
            </w:r>
            <w:r>
              <w:rPr>
                <w:rFonts w:ascii="Times New Roman" w:eastAsia="仿宋" w:hAnsi="Times New Roman" w:hint="eastAsia"/>
                <w:sz w:val="24"/>
                <w:szCs w:val="24"/>
              </w:rPr>
              <w:t>、由两个以上的经营者共同控制的合营企业，通过集中被其中一个或一个以上经营者控制。</w:t>
            </w:r>
          </w:p>
        </w:tc>
      </w:tr>
      <w:tr w:rsidR="009C55EB" w14:paraId="022B7AD3" w14:textId="77777777" w:rsidTr="00EE7E5D">
        <w:tc>
          <w:tcPr>
            <w:tcW w:w="2098" w:type="dxa"/>
            <w:shd w:val="clear" w:color="auto" w:fill="D9D9D9"/>
            <w:vAlign w:val="center"/>
          </w:tcPr>
          <w:p w14:paraId="440F4A8B" w14:textId="77777777" w:rsidR="009C55EB" w:rsidRDefault="00554175">
            <w:pPr>
              <w:jc w:val="center"/>
              <w:rPr>
                <w:rFonts w:ascii="Times New Roman" w:eastAsia="仿宋" w:hAnsi="Times New Roman"/>
                <w:b/>
                <w:sz w:val="24"/>
                <w:szCs w:val="24"/>
              </w:rPr>
            </w:pPr>
            <w:r>
              <w:rPr>
                <w:rFonts w:ascii="Times New Roman" w:eastAsia="仿宋" w:hAnsi="Times New Roman" w:hint="eastAsia"/>
                <w:b/>
                <w:sz w:val="24"/>
                <w:szCs w:val="24"/>
              </w:rPr>
              <w:t>备注</w:t>
            </w:r>
          </w:p>
        </w:tc>
        <w:tc>
          <w:tcPr>
            <w:tcW w:w="6949" w:type="dxa"/>
            <w:gridSpan w:val="2"/>
          </w:tcPr>
          <w:p w14:paraId="19AB9356" w14:textId="6B9A7B50" w:rsidR="009C55EB" w:rsidRDefault="00554175">
            <w:pPr>
              <w:spacing w:line="400" w:lineRule="exact"/>
              <w:rPr>
                <w:rFonts w:ascii="Times New Roman" w:eastAsia="仿宋" w:hAnsi="Times New Roman"/>
                <w:sz w:val="24"/>
                <w:szCs w:val="24"/>
              </w:rPr>
            </w:pPr>
            <w:r>
              <w:rPr>
                <w:rFonts w:ascii="Times New Roman" w:eastAsia="仿宋" w:hAnsi="Times New Roman"/>
                <w:sz w:val="24"/>
                <w:szCs w:val="24"/>
              </w:rPr>
              <w:t>1</w:t>
            </w:r>
            <w:r>
              <w:rPr>
                <w:rFonts w:ascii="Times New Roman" w:eastAsia="仿宋" w:hAnsi="Times New Roman" w:hint="eastAsia"/>
                <w:sz w:val="24"/>
                <w:szCs w:val="24"/>
              </w:rPr>
              <w:t>、相关产品市场：航空煤油市场</w:t>
            </w:r>
          </w:p>
          <w:p w14:paraId="663FFFBD" w14:textId="73182962"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相关地域市场：全球市场</w:t>
            </w:r>
          </w:p>
          <w:p w14:paraId="4042EA06" w14:textId="3EF4FF6F"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市场份额：</w:t>
            </w:r>
            <w:r w:rsidR="00F50A99" w:rsidRPr="00F50A99">
              <w:rPr>
                <w:rFonts w:ascii="Times New Roman" w:eastAsia="仿宋" w:hAnsi="Times New Roman" w:hint="eastAsia"/>
                <w:sz w:val="24"/>
                <w:szCs w:val="24"/>
              </w:rPr>
              <w:t>中国石油国际事业（日本）</w:t>
            </w:r>
            <w:r>
              <w:rPr>
                <w:rFonts w:ascii="Times New Roman" w:eastAsia="仿宋" w:hAnsi="Times New Roman" w:hint="eastAsia"/>
                <w:sz w:val="24"/>
                <w:szCs w:val="24"/>
              </w:rPr>
              <w:t>[</w:t>
            </w:r>
            <w:r w:rsidR="00A82466">
              <w:rPr>
                <w:rFonts w:ascii="Times New Roman" w:eastAsia="仿宋" w:hAnsi="Times New Roman"/>
                <w:sz w:val="24"/>
                <w:szCs w:val="24"/>
              </w:rPr>
              <w:t>0</w:t>
            </w:r>
            <w:r>
              <w:rPr>
                <w:rFonts w:ascii="Times New Roman" w:eastAsia="仿宋" w:hAnsi="Times New Roman"/>
                <w:sz w:val="24"/>
                <w:szCs w:val="24"/>
              </w:rPr>
              <w:t>%-</w:t>
            </w:r>
            <w:r w:rsidR="00A82466">
              <w:rPr>
                <w:rFonts w:ascii="Times New Roman" w:eastAsia="仿宋" w:hAnsi="Times New Roman"/>
                <w:sz w:val="24"/>
                <w:szCs w:val="24"/>
              </w:rPr>
              <w:t>5</w:t>
            </w:r>
            <w:r>
              <w:rPr>
                <w:rFonts w:ascii="Times New Roman" w:eastAsia="仿宋" w:hAnsi="Times New Roman"/>
                <w:sz w:val="24"/>
                <w:szCs w:val="24"/>
              </w:rPr>
              <w:t>%]</w:t>
            </w:r>
            <w:r>
              <w:rPr>
                <w:rFonts w:ascii="Times New Roman" w:eastAsia="仿宋" w:hAnsi="Times New Roman" w:hint="eastAsia"/>
                <w:sz w:val="24"/>
                <w:szCs w:val="24"/>
              </w:rPr>
              <w:t>；</w:t>
            </w:r>
            <w:r w:rsidR="00F50A99" w:rsidRPr="00F50A99">
              <w:rPr>
                <w:rFonts w:ascii="Times New Roman" w:eastAsia="仿宋" w:hAnsi="Times New Roman" w:hint="eastAsia"/>
                <w:sz w:val="24"/>
                <w:szCs w:val="24"/>
              </w:rPr>
              <w:t>引能仕</w:t>
            </w:r>
            <w:r>
              <w:rPr>
                <w:rFonts w:ascii="Times New Roman" w:eastAsia="仿宋" w:hAnsi="Times New Roman" w:hint="eastAsia"/>
                <w:sz w:val="24"/>
                <w:szCs w:val="24"/>
              </w:rPr>
              <w:t>[</w:t>
            </w:r>
            <w:r>
              <w:rPr>
                <w:rFonts w:ascii="Times New Roman" w:eastAsia="仿宋" w:hAnsi="Times New Roman"/>
                <w:sz w:val="24"/>
                <w:szCs w:val="24"/>
              </w:rPr>
              <w:t>0</w:t>
            </w:r>
            <w:r>
              <w:rPr>
                <w:rFonts w:ascii="Times New Roman" w:eastAsia="仿宋" w:hAnsi="Times New Roman" w:hint="eastAsia"/>
                <w:sz w:val="24"/>
                <w:szCs w:val="24"/>
              </w:rPr>
              <w:t>%-</w:t>
            </w:r>
            <w:r>
              <w:rPr>
                <w:rFonts w:ascii="Times New Roman" w:eastAsia="仿宋" w:hAnsi="Times New Roman"/>
                <w:sz w:val="24"/>
                <w:szCs w:val="24"/>
              </w:rPr>
              <w:t>5</w:t>
            </w:r>
            <w:r>
              <w:rPr>
                <w:rFonts w:ascii="Times New Roman" w:eastAsia="仿宋" w:hAnsi="Times New Roman" w:hint="eastAsia"/>
                <w:sz w:val="24"/>
                <w:szCs w:val="24"/>
              </w:rPr>
              <w:t>%</w:t>
            </w:r>
            <w:r>
              <w:rPr>
                <w:rFonts w:ascii="Times New Roman" w:eastAsia="仿宋" w:hAnsi="Times New Roman"/>
                <w:sz w:val="24"/>
                <w:szCs w:val="24"/>
              </w:rPr>
              <w:t>]</w:t>
            </w:r>
          </w:p>
          <w:p w14:paraId="6218C564" w14:textId="25D591D8" w:rsidR="009C55EB" w:rsidRDefault="00554175">
            <w:pPr>
              <w:spacing w:line="400" w:lineRule="exact"/>
              <w:rPr>
                <w:rFonts w:ascii="Times New Roman" w:eastAsia="仿宋" w:hAnsi="Times New Roman"/>
                <w:sz w:val="24"/>
                <w:szCs w:val="24"/>
              </w:rPr>
            </w:pPr>
            <w:r>
              <w:rPr>
                <w:rFonts w:ascii="Times New Roman" w:eastAsia="仿宋" w:hAnsi="Times New Roman"/>
                <w:sz w:val="24"/>
                <w:szCs w:val="24"/>
              </w:rPr>
              <w:t>2</w:t>
            </w:r>
            <w:r>
              <w:rPr>
                <w:rFonts w:ascii="Times New Roman" w:eastAsia="仿宋" w:hAnsi="Times New Roman" w:hint="eastAsia"/>
                <w:sz w:val="24"/>
                <w:szCs w:val="24"/>
              </w:rPr>
              <w:t>、相关产品市场：</w:t>
            </w:r>
            <w:r>
              <w:rPr>
                <w:rFonts w:ascii="Times New Roman" w:eastAsia="仿宋" w:hAnsi="Times New Roman" w:hint="eastAsia"/>
                <w:bCs/>
                <w:sz w:val="24"/>
                <w:szCs w:val="24"/>
              </w:rPr>
              <w:t>船用燃料油市场</w:t>
            </w:r>
          </w:p>
          <w:p w14:paraId="6B5965AB" w14:textId="77777777"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相关地域市场：全球市场</w:t>
            </w:r>
          </w:p>
          <w:p w14:paraId="5F9E30E1" w14:textId="6700E6B6"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lastRenderedPageBreak/>
              <w:t>市场份额：</w:t>
            </w:r>
            <w:r w:rsidR="002C59E7">
              <w:rPr>
                <w:rFonts w:ascii="Times New Roman" w:eastAsia="仿宋" w:hAnsi="Times New Roman" w:hint="eastAsia"/>
                <w:sz w:val="24"/>
                <w:szCs w:val="24"/>
              </w:rPr>
              <w:t>中国石油国际事业（日本）</w:t>
            </w:r>
            <w:r>
              <w:rPr>
                <w:rFonts w:ascii="Times New Roman" w:eastAsia="仿宋" w:hAnsi="Times New Roman" w:hint="eastAsia"/>
                <w:sz w:val="24"/>
                <w:szCs w:val="24"/>
              </w:rPr>
              <w:t>[</w:t>
            </w:r>
            <w:r>
              <w:rPr>
                <w:rFonts w:ascii="Times New Roman" w:eastAsia="仿宋" w:hAnsi="Times New Roman"/>
                <w:sz w:val="24"/>
                <w:szCs w:val="24"/>
              </w:rPr>
              <w:t>0%-5%]</w:t>
            </w:r>
            <w:r>
              <w:rPr>
                <w:rFonts w:ascii="Times New Roman" w:eastAsia="仿宋" w:hAnsi="Times New Roman" w:hint="eastAsia"/>
                <w:sz w:val="24"/>
                <w:szCs w:val="24"/>
              </w:rPr>
              <w:t>；</w:t>
            </w:r>
            <w:r w:rsidR="002C59E7">
              <w:rPr>
                <w:rFonts w:ascii="Times New Roman" w:eastAsia="仿宋" w:hAnsi="Times New Roman" w:hint="eastAsia"/>
                <w:sz w:val="24"/>
                <w:szCs w:val="24"/>
              </w:rPr>
              <w:t>引能仕</w:t>
            </w:r>
            <w:r>
              <w:rPr>
                <w:rFonts w:ascii="Times New Roman" w:eastAsia="仿宋" w:hAnsi="Times New Roman" w:hint="eastAsia"/>
                <w:sz w:val="24"/>
                <w:szCs w:val="24"/>
              </w:rPr>
              <w:t>[</w:t>
            </w:r>
            <w:r>
              <w:rPr>
                <w:rFonts w:ascii="Times New Roman" w:eastAsia="仿宋" w:hAnsi="Times New Roman"/>
                <w:sz w:val="24"/>
                <w:szCs w:val="24"/>
              </w:rPr>
              <w:t>0</w:t>
            </w:r>
            <w:r>
              <w:rPr>
                <w:rFonts w:ascii="Times New Roman" w:eastAsia="仿宋" w:hAnsi="Times New Roman" w:hint="eastAsia"/>
                <w:sz w:val="24"/>
                <w:szCs w:val="24"/>
              </w:rPr>
              <w:t>%-</w:t>
            </w:r>
            <w:r>
              <w:rPr>
                <w:rFonts w:ascii="Times New Roman" w:eastAsia="仿宋" w:hAnsi="Times New Roman"/>
                <w:sz w:val="24"/>
                <w:szCs w:val="24"/>
              </w:rPr>
              <w:t>5</w:t>
            </w:r>
            <w:r>
              <w:rPr>
                <w:rFonts w:ascii="Times New Roman" w:eastAsia="仿宋" w:hAnsi="Times New Roman" w:hint="eastAsia"/>
                <w:sz w:val="24"/>
                <w:szCs w:val="24"/>
              </w:rPr>
              <w:t>%</w:t>
            </w:r>
            <w:r>
              <w:rPr>
                <w:rFonts w:ascii="Times New Roman" w:eastAsia="仿宋" w:hAnsi="Times New Roman"/>
                <w:sz w:val="24"/>
                <w:szCs w:val="24"/>
              </w:rPr>
              <w:t>]</w:t>
            </w:r>
          </w:p>
          <w:p w14:paraId="52C606F9" w14:textId="0D48E550" w:rsidR="009C55EB" w:rsidRDefault="00554175">
            <w:pPr>
              <w:spacing w:line="400" w:lineRule="exact"/>
              <w:rPr>
                <w:rFonts w:ascii="Times New Roman" w:eastAsia="仿宋" w:hAnsi="Times New Roman"/>
                <w:sz w:val="24"/>
                <w:szCs w:val="24"/>
              </w:rPr>
            </w:pPr>
            <w:r>
              <w:rPr>
                <w:rFonts w:ascii="Times New Roman" w:eastAsia="仿宋" w:hAnsi="Times New Roman"/>
                <w:sz w:val="24"/>
                <w:szCs w:val="24"/>
              </w:rPr>
              <w:t>3</w:t>
            </w:r>
            <w:r>
              <w:rPr>
                <w:rFonts w:ascii="Times New Roman" w:eastAsia="仿宋" w:hAnsi="Times New Roman" w:hint="eastAsia"/>
                <w:sz w:val="24"/>
                <w:szCs w:val="24"/>
              </w:rPr>
              <w:t>、相关产品市场：异构级混合二甲苯</w:t>
            </w:r>
            <w:r>
              <w:rPr>
                <w:rFonts w:ascii="Times New Roman" w:eastAsia="仿宋" w:hAnsi="Times New Roman" w:hint="eastAsia"/>
                <w:bCs/>
                <w:sz w:val="24"/>
                <w:szCs w:val="24"/>
              </w:rPr>
              <w:t>市场</w:t>
            </w:r>
          </w:p>
          <w:p w14:paraId="12065321" w14:textId="77777777"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相关地域市场：全球市场</w:t>
            </w:r>
          </w:p>
          <w:p w14:paraId="17AFD635" w14:textId="111DBEF7"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市场份额：</w:t>
            </w:r>
            <w:r w:rsidR="002C59E7">
              <w:rPr>
                <w:rFonts w:ascii="Times New Roman" w:eastAsia="仿宋" w:hAnsi="Times New Roman" w:hint="eastAsia"/>
                <w:sz w:val="24"/>
                <w:szCs w:val="24"/>
              </w:rPr>
              <w:t>中国石油国际事业（日本）</w:t>
            </w:r>
            <w:r>
              <w:rPr>
                <w:rFonts w:ascii="Times New Roman" w:eastAsia="仿宋" w:hAnsi="Times New Roman" w:hint="eastAsia"/>
                <w:sz w:val="24"/>
                <w:szCs w:val="24"/>
              </w:rPr>
              <w:t>[</w:t>
            </w:r>
            <w:r>
              <w:rPr>
                <w:rFonts w:ascii="Times New Roman" w:eastAsia="仿宋" w:hAnsi="Times New Roman"/>
                <w:sz w:val="24"/>
                <w:szCs w:val="24"/>
              </w:rPr>
              <w:t>0%-5%]</w:t>
            </w:r>
            <w:r>
              <w:rPr>
                <w:rFonts w:ascii="Times New Roman" w:eastAsia="仿宋" w:hAnsi="Times New Roman" w:hint="eastAsia"/>
                <w:sz w:val="24"/>
                <w:szCs w:val="24"/>
              </w:rPr>
              <w:t>；</w:t>
            </w:r>
            <w:r w:rsidR="002C59E7">
              <w:rPr>
                <w:rFonts w:ascii="Times New Roman" w:eastAsia="仿宋" w:hAnsi="Times New Roman" w:hint="eastAsia"/>
                <w:sz w:val="24"/>
                <w:szCs w:val="24"/>
              </w:rPr>
              <w:t>引能仕</w:t>
            </w:r>
            <w:r>
              <w:rPr>
                <w:rFonts w:ascii="Times New Roman" w:eastAsia="仿宋" w:hAnsi="Times New Roman" w:hint="eastAsia"/>
                <w:sz w:val="24"/>
                <w:szCs w:val="24"/>
              </w:rPr>
              <w:t>[</w:t>
            </w:r>
            <w:r>
              <w:rPr>
                <w:rFonts w:ascii="Times New Roman" w:eastAsia="仿宋" w:hAnsi="Times New Roman"/>
                <w:sz w:val="24"/>
                <w:szCs w:val="24"/>
              </w:rPr>
              <w:t>0</w:t>
            </w:r>
            <w:r>
              <w:rPr>
                <w:rFonts w:ascii="Times New Roman" w:eastAsia="仿宋" w:hAnsi="Times New Roman" w:hint="eastAsia"/>
                <w:sz w:val="24"/>
                <w:szCs w:val="24"/>
              </w:rPr>
              <w:t>%-</w:t>
            </w:r>
            <w:r>
              <w:rPr>
                <w:rFonts w:ascii="Times New Roman" w:eastAsia="仿宋" w:hAnsi="Times New Roman"/>
                <w:sz w:val="24"/>
                <w:szCs w:val="24"/>
              </w:rPr>
              <w:t>5</w:t>
            </w:r>
            <w:r>
              <w:rPr>
                <w:rFonts w:ascii="Times New Roman" w:eastAsia="仿宋" w:hAnsi="Times New Roman" w:hint="eastAsia"/>
                <w:sz w:val="24"/>
                <w:szCs w:val="24"/>
              </w:rPr>
              <w:t>%</w:t>
            </w:r>
            <w:r>
              <w:rPr>
                <w:rFonts w:ascii="Times New Roman" w:eastAsia="仿宋" w:hAnsi="Times New Roman"/>
                <w:sz w:val="24"/>
                <w:szCs w:val="24"/>
              </w:rPr>
              <w:t>]</w:t>
            </w:r>
          </w:p>
          <w:p w14:paraId="4FB97217" w14:textId="4091D95F" w:rsidR="009C55EB" w:rsidRDefault="00554175">
            <w:pPr>
              <w:spacing w:line="400" w:lineRule="exact"/>
              <w:rPr>
                <w:rFonts w:ascii="Times New Roman" w:eastAsia="仿宋" w:hAnsi="Times New Roman"/>
                <w:sz w:val="24"/>
                <w:szCs w:val="24"/>
              </w:rPr>
            </w:pPr>
            <w:r>
              <w:rPr>
                <w:rFonts w:ascii="Times New Roman" w:eastAsia="仿宋" w:hAnsi="Times New Roman"/>
                <w:sz w:val="24"/>
                <w:szCs w:val="24"/>
              </w:rPr>
              <w:t>4</w:t>
            </w:r>
            <w:r>
              <w:rPr>
                <w:rFonts w:ascii="Times New Roman" w:eastAsia="仿宋" w:hAnsi="Times New Roman" w:hint="eastAsia"/>
                <w:sz w:val="24"/>
                <w:szCs w:val="24"/>
              </w:rPr>
              <w:t>、相关产品市场：</w:t>
            </w:r>
            <w:r>
              <w:rPr>
                <w:rFonts w:ascii="Times New Roman" w:eastAsia="仿宋" w:hAnsi="Times New Roman" w:hint="eastAsia"/>
                <w:bCs/>
                <w:sz w:val="24"/>
                <w:szCs w:val="24"/>
              </w:rPr>
              <w:t>原油市场</w:t>
            </w:r>
          </w:p>
          <w:p w14:paraId="185AB719" w14:textId="77777777"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相关地域市场：全球市场</w:t>
            </w:r>
          </w:p>
          <w:p w14:paraId="6B2EEC48" w14:textId="55813CE3" w:rsidR="009C55EB" w:rsidRDefault="00554175">
            <w:pPr>
              <w:spacing w:line="400" w:lineRule="exact"/>
              <w:rPr>
                <w:rFonts w:ascii="Times New Roman" w:eastAsia="仿宋" w:hAnsi="Times New Roman"/>
                <w:sz w:val="24"/>
                <w:szCs w:val="24"/>
              </w:rPr>
            </w:pPr>
            <w:r>
              <w:rPr>
                <w:rFonts w:ascii="Times New Roman" w:eastAsia="仿宋" w:hAnsi="Times New Roman" w:hint="eastAsia"/>
                <w:sz w:val="24"/>
                <w:szCs w:val="24"/>
              </w:rPr>
              <w:t>市场份额：</w:t>
            </w:r>
            <w:r w:rsidR="002C59E7">
              <w:rPr>
                <w:rFonts w:ascii="Times New Roman" w:eastAsia="仿宋" w:hAnsi="Times New Roman" w:hint="eastAsia"/>
                <w:sz w:val="24"/>
                <w:szCs w:val="24"/>
              </w:rPr>
              <w:t>中国石油国际事业（日本）</w:t>
            </w:r>
            <w:r>
              <w:rPr>
                <w:rFonts w:ascii="Times New Roman" w:eastAsia="仿宋" w:hAnsi="Times New Roman" w:hint="eastAsia"/>
                <w:sz w:val="24"/>
                <w:szCs w:val="24"/>
              </w:rPr>
              <w:t>[</w:t>
            </w:r>
            <w:r>
              <w:rPr>
                <w:rFonts w:ascii="Times New Roman" w:eastAsia="仿宋" w:hAnsi="Times New Roman"/>
                <w:sz w:val="24"/>
                <w:szCs w:val="24"/>
              </w:rPr>
              <w:t>0%-5%]</w:t>
            </w:r>
            <w:r>
              <w:rPr>
                <w:rFonts w:ascii="Times New Roman" w:eastAsia="仿宋" w:hAnsi="Times New Roman" w:hint="eastAsia"/>
                <w:sz w:val="24"/>
                <w:szCs w:val="24"/>
              </w:rPr>
              <w:t>；</w:t>
            </w:r>
            <w:r w:rsidR="002C59E7">
              <w:rPr>
                <w:rFonts w:ascii="Times New Roman" w:eastAsia="仿宋" w:hAnsi="Times New Roman" w:hint="eastAsia"/>
                <w:sz w:val="24"/>
                <w:szCs w:val="24"/>
              </w:rPr>
              <w:t>引能仕</w:t>
            </w:r>
            <w:r w:rsidR="002C59E7">
              <w:rPr>
                <w:rFonts w:ascii="Times New Roman" w:eastAsia="仿宋" w:hAnsi="Times New Roman" w:hint="eastAsia"/>
                <w:sz w:val="24"/>
                <w:szCs w:val="24"/>
              </w:rPr>
              <w:t>[</w:t>
            </w:r>
            <w:r w:rsidR="002C59E7">
              <w:rPr>
                <w:rFonts w:ascii="Times New Roman" w:eastAsia="仿宋" w:hAnsi="Times New Roman"/>
                <w:sz w:val="24"/>
                <w:szCs w:val="24"/>
              </w:rPr>
              <w:t>0</w:t>
            </w:r>
            <w:r w:rsidR="002C59E7">
              <w:rPr>
                <w:rFonts w:ascii="Times New Roman" w:eastAsia="仿宋" w:hAnsi="Times New Roman" w:hint="eastAsia"/>
                <w:sz w:val="24"/>
                <w:szCs w:val="24"/>
              </w:rPr>
              <w:t>%-</w:t>
            </w:r>
            <w:r w:rsidR="002C59E7">
              <w:rPr>
                <w:rFonts w:ascii="Times New Roman" w:eastAsia="仿宋" w:hAnsi="Times New Roman"/>
                <w:sz w:val="24"/>
                <w:szCs w:val="24"/>
              </w:rPr>
              <w:t>5</w:t>
            </w:r>
            <w:r w:rsidR="002C59E7">
              <w:rPr>
                <w:rFonts w:ascii="Times New Roman" w:eastAsia="仿宋" w:hAnsi="Times New Roman" w:hint="eastAsia"/>
                <w:sz w:val="24"/>
                <w:szCs w:val="24"/>
              </w:rPr>
              <w:t>%</w:t>
            </w:r>
            <w:r w:rsidR="002C59E7">
              <w:rPr>
                <w:rFonts w:ascii="Times New Roman" w:eastAsia="仿宋" w:hAnsi="Times New Roman"/>
                <w:sz w:val="24"/>
                <w:szCs w:val="24"/>
              </w:rPr>
              <w:t>]</w:t>
            </w:r>
          </w:p>
        </w:tc>
      </w:tr>
    </w:tbl>
    <w:p w14:paraId="59139D15" w14:textId="77777777" w:rsidR="009C55EB" w:rsidRDefault="009C55EB">
      <w:pPr>
        <w:spacing w:line="60" w:lineRule="exact"/>
        <w:rPr>
          <w:rFonts w:ascii="Times New Roman" w:eastAsia="仿宋" w:hAnsi="Times New Roman"/>
          <w:sz w:val="24"/>
          <w:szCs w:val="24"/>
        </w:rPr>
      </w:pPr>
    </w:p>
    <w:sectPr w:rsidR="009C55E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3474F3" w14:textId="77777777" w:rsidR="00C53DEC" w:rsidRDefault="00C53DEC" w:rsidP="00FC66B6">
      <w:r>
        <w:separator/>
      </w:r>
    </w:p>
  </w:endnote>
  <w:endnote w:type="continuationSeparator" w:id="0">
    <w:p w14:paraId="52E48186" w14:textId="77777777" w:rsidR="00C53DEC" w:rsidRDefault="00C53DEC" w:rsidP="00FC6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270195" w14:textId="77777777" w:rsidR="00C53DEC" w:rsidRDefault="00C53DEC" w:rsidP="00FC66B6">
      <w:r>
        <w:separator/>
      </w:r>
    </w:p>
  </w:footnote>
  <w:footnote w:type="continuationSeparator" w:id="0">
    <w:p w14:paraId="19B2F359" w14:textId="77777777" w:rsidR="00C53DEC" w:rsidRDefault="00C53DEC" w:rsidP="00FC66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2CF"/>
    <w:rsid w:val="00014472"/>
    <w:rsid w:val="00023F3D"/>
    <w:rsid w:val="000B75FE"/>
    <w:rsid w:val="000D074D"/>
    <w:rsid w:val="000E5EBE"/>
    <w:rsid w:val="000F68F9"/>
    <w:rsid w:val="0012439E"/>
    <w:rsid w:val="0013534E"/>
    <w:rsid w:val="001E1369"/>
    <w:rsid w:val="0025612F"/>
    <w:rsid w:val="002C3BB7"/>
    <w:rsid w:val="002C59E7"/>
    <w:rsid w:val="002E719F"/>
    <w:rsid w:val="003927C9"/>
    <w:rsid w:val="003B1E3F"/>
    <w:rsid w:val="00423AF8"/>
    <w:rsid w:val="00432189"/>
    <w:rsid w:val="004868E1"/>
    <w:rsid w:val="004B36F7"/>
    <w:rsid w:val="00551C8B"/>
    <w:rsid w:val="00554175"/>
    <w:rsid w:val="006D42CF"/>
    <w:rsid w:val="0070432D"/>
    <w:rsid w:val="007203E0"/>
    <w:rsid w:val="007A3088"/>
    <w:rsid w:val="00831DDD"/>
    <w:rsid w:val="00964E70"/>
    <w:rsid w:val="0098689D"/>
    <w:rsid w:val="009B3FBC"/>
    <w:rsid w:val="009C55EB"/>
    <w:rsid w:val="00A82466"/>
    <w:rsid w:val="00A9105D"/>
    <w:rsid w:val="00B761E4"/>
    <w:rsid w:val="00BA7790"/>
    <w:rsid w:val="00BB0929"/>
    <w:rsid w:val="00BC5B05"/>
    <w:rsid w:val="00C53DEC"/>
    <w:rsid w:val="00E64B64"/>
    <w:rsid w:val="00EC39C8"/>
    <w:rsid w:val="00EE7E5D"/>
    <w:rsid w:val="00F076F2"/>
    <w:rsid w:val="00F2618D"/>
    <w:rsid w:val="00F50A99"/>
    <w:rsid w:val="00FB6089"/>
    <w:rsid w:val="00FC66B6"/>
    <w:rsid w:val="00FF2BB2"/>
    <w:rsid w:val="59D415C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AC93F"/>
  <w15:docId w15:val="{03483878-EB06-41FB-BBB8-8E831120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ndnote reference"/>
    <w:basedOn w:val="a0"/>
    <w:uiPriority w:val="99"/>
    <w:semiHidden/>
    <w:unhideWhenUsed/>
    <w:rPr>
      <w:vertAlign w:val="superscript"/>
    </w:rPr>
  </w:style>
  <w:style w:type="character" w:customStyle="1" w:styleId="a4">
    <w:name w:val="尾注文本 字符"/>
    <w:basedOn w:val="a0"/>
    <w:link w:val="a3"/>
    <w:uiPriority w:val="99"/>
    <w:semiHidden/>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d">
    <w:name w:val="List Paragraph"/>
    <w:basedOn w:val="a"/>
    <w:uiPriority w:val="34"/>
    <w:qFormat/>
    <w:pPr>
      <w:ind w:firstLineChars="200" w:firstLine="420"/>
    </w:pPr>
  </w:style>
  <w:style w:type="character" w:customStyle="1" w:styleId="a6">
    <w:name w:val="批注框文本 字符"/>
    <w:basedOn w:val="a0"/>
    <w:link w:val="a5"/>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4C1518-4906-47BD-8F36-7E264229B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166</Words>
  <Characters>951</Characters>
  <Application>Microsoft Office Word</Application>
  <DocSecurity>0</DocSecurity>
  <Lines>7</Lines>
  <Paragraphs>2</Paragraphs>
  <ScaleCrop>false</ScaleCrop>
  <Company>MS</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dc:creator>
  <cp:lastModifiedBy>GLO</cp:lastModifiedBy>
  <cp:revision>4</cp:revision>
  <cp:lastPrinted>2017-12-20T02:51:00Z</cp:lastPrinted>
  <dcterms:created xsi:type="dcterms:W3CDTF">2020-11-11T01:03:00Z</dcterms:created>
  <dcterms:modified xsi:type="dcterms:W3CDTF">2020-11-11T15:38:00Z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