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经营者集中简易案件公示表</w:t>
      </w:r>
    </w:p>
    <w:p>
      <w:pPr>
        <w:spacing w:line="440" w:lineRule="exact"/>
        <w:rPr>
          <w:rFonts w:hint="eastAsia" w:ascii="宋体" w:hAnsi="宋体"/>
          <w:sz w:val="24"/>
          <w:szCs w:val="24"/>
        </w:rPr>
      </w:pPr>
    </w:p>
    <w:tbl>
      <w:tblPr>
        <w:tblStyle w:val="3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1998"/>
        <w:gridCol w:w="47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0" w:type="dxa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712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株式会社好丽友控股收购山东鲁抗生物技术开发有限公司股权案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60" w:type="dxa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712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本次交易为韩国株式会社好丽友控股（“好丽友控股”）及其在中国境内的子公司好丽友食品有限公司（“好丽友中国”）以认购增资的方式，收购山东鲁抗医药股份公司（“鲁抗医药”） 全资子公司山东鲁抗生物技术开发有限公司（“鲁抗生物”）的部分股权。交易完成后，好丽友控股和鲁抗医药共同控制鲁抗生物。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60" w:type="dxa"/>
            <w:vMerge w:val="restart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998" w:type="dxa"/>
            <w:noWrap w:val="0"/>
            <w:vAlign w:val="center"/>
          </w:tcPr>
          <w:p>
            <w:pPr>
              <w:spacing w:line="500" w:lineRule="exact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>
              <w:rPr>
                <w:rFonts w:hint="eastAsia" w:ascii="Times New Roman" w:hAnsi="Times New Roman"/>
                <w:sz w:val="24"/>
                <w:szCs w:val="24"/>
              </w:rPr>
              <w:t>好丽友控股</w:t>
            </w:r>
          </w:p>
        </w:tc>
        <w:tc>
          <w:tcPr>
            <w:tcW w:w="4714" w:type="dxa"/>
            <w:noWrap w:val="0"/>
            <w:vAlign w:val="top"/>
          </w:tcPr>
          <w:p>
            <w:pPr>
              <w:spacing w:line="500" w:lineRule="exact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好丽友控股是一家在韩国成立、上市的食品公司，主要从事饼干等食品的生产销售业务。其子公司好丽友中国同样以食品的研发、生产、销售为主营业务。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60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998" w:type="dxa"/>
            <w:noWrap w:val="0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r>
              <w:rPr>
                <w:rFonts w:hint="eastAsia" w:ascii="Times New Roman" w:hAnsi="Times New Roman"/>
                <w:sz w:val="24"/>
                <w:szCs w:val="24"/>
              </w:rPr>
              <w:t>鲁抗医药</w:t>
            </w:r>
          </w:p>
        </w:tc>
        <w:tc>
          <w:tcPr>
            <w:tcW w:w="4714" w:type="dxa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鲁抗医药是一家国有控股大型综合性医药企业，于1997年上市，主要从事抗生素类医药产品的研发、生产和销售业务。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60" w:type="dxa"/>
            <w:vMerge w:val="restart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简易案件理由（可以单选，也可以多选</w:t>
            </w:r>
            <w:r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  <w:tc>
          <w:tcPr>
            <w:tcW w:w="6712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60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12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60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12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60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12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60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12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60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12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0" w:type="dxa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备注</w:t>
            </w:r>
          </w:p>
        </w:tc>
        <w:tc>
          <w:tcPr>
            <w:tcW w:w="6712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本次交易涉及的相关市场包括：</w:t>
            </w:r>
          </w:p>
          <w:p>
            <w:pPr>
              <w:spacing w:line="500" w:lineRule="exact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1. 中国结核体外诊断试剂盒市场；</w:t>
            </w:r>
          </w:p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2. 中国肠癌体外诊断试剂盒市场。</w:t>
            </w:r>
          </w:p>
          <w:p>
            <w:pPr>
              <w:spacing w:line="500" w:lineRule="exact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集中双方均不在以上市场开展业务。</w:t>
            </w:r>
          </w:p>
        </w:tc>
      </w:tr>
    </w:tbl>
    <w:p>
      <w:pPr>
        <w:rPr>
          <w:rFonts w:hint="eastAsia" w:ascii="宋体" w:hAnsi="宋体"/>
          <w:sz w:val="24"/>
          <w:szCs w:val="24"/>
        </w:rPr>
      </w:pPr>
    </w:p>
    <w:p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PAGE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NUMPAGES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22DF6"/>
    <w:rsid w:val="5C02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2020-12-20T09:23:00Z</dcterms:created>
  <dc:creator>legal</dc:creator>
  <cp:lastModifiedBy>legal</cp:lastModifiedBy>
  <dcterms:modified xsi:type="dcterms:W3CDTF">2020-12-20T09:23:42Z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