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rPr>
          <w:rFonts w:ascii="Times New Roman" w:hAnsi="Times New Roman"/>
          <w:b/>
          <w:bCs/>
          <w:sz w:val="32"/>
          <w:szCs w:val="32"/>
        </w:rPr>
      </w:pPr>
      <w:bookmarkStart w:id="1" w:name="_GoBack"/>
      <w:bookmarkEnd w:id="1"/>
      <w:r>
        <w:rPr>
          <w:rFonts w:ascii="Times New Roman" w:hAnsi="Times New Roman"/>
          <w:b/>
          <w:bCs/>
          <w:sz w:val="32"/>
          <w:szCs w:val="32"/>
        </w:rPr>
        <w:t>经营者集中简易案件公示表</w:t>
      </w:r>
    </w:p>
    <w:p>
      <w:pPr>
        <w:spacing w:line="276" w:lineRule="auto"/>
        <w:rPr>
          <w:rFonts w:hint="eastAsia" w:ascii="Times New Roman" w:hAnsi="Times New Roman"/>
          <w:i/>
          <w:iCs/>
          <w:szCs w:val="21"/>
        </w:rPr>
      </w:pPr>
    </w:p>
    <w:tbl>
      <w:tblPr>
        <w:tblStyle w:val="13"/>
        <w:tblW w:w="9334"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418"/>
        <w:gridCol w:w="6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1" w:hRule="atLeast"/>
        </w:trPr>
        <w:tc>
          <w:tcPr>
            <w:tcW w:w="1560" w:type="dxa"/>
            <w:shd w:val="clear" w:color="auto" w:fill="D9D9D9"/>
            <w:vAlign w:val="center"/>
          </w:tcPr>
          <w:p>
            <w:pPr>
              <w:spacing w:line="360" w:lineRule="auto"/>
              <w:rPr>
                <w:rFonts w:ascii="Times New Roman" w:hAnsi="Times New Roman"/>
                <w:szCs w:val="21"/>
              </w:rPr>
            </w:pPr>
            <w:r>
              <w:rPr>
                <w:rFonts w:ascii="Times New Roman" w:hAnsi="Times New Roman"/>
                <w:szCs w:val="21"/>
              </w:rPr>
              <w:t>案件名称</w:t>
            </w:r>
          </w:p>
        </w:tc>
        <w:tc>
          <w:tcPr>
            <w:tcW w:w="7774" w:type="dxa"/>
            <w:gridSpan w:val="2"/>
            <w:shd w:val="clear" w:color="auto" w:fill="auto"/>
            <w:vAlign w:val="center"/>
          </w:tcPr>
          <w:p>
            <w:pPr>
              <w:spacing w:line="360" w:lineRule="auto"/>
              <w:rPr>
                <w:rFonts w:ascii="Times New Roman" w:hAnsi="Times New Roman"/>
                <w:szCs w:val="21"/>
              </w:rPr>
            </w:pPr>
            <w:bookmarkStart w:id="0" w:name="_Hlk43935873"/>
            <w:r>
              <w:rPr>
                <w:rFonts w:ascii="Times New Roman" w:hAnsi="Times New Roman" w:cs="宋体"/>
                <w:iCs/>
              </w:rPr>
              <w:t>中国宝武钢铁集团有限公司</w:t>
            </w:r>
            <w:bookmarkEnd w:id="0"/>
            <w:r>
              <w:rPr>
                <w:rFonts w:hint="eastAsia" w:ascii="Times New Roman" w:hAnsi="Times New Roman" w:cs="宋体"/>
                <w:iCs/>
              </w:rPr>
              <w:t>收购重庆钢铁（集团）有限责任公司股权</w:t>
            </w:r>
            <w:r>
              <w:rPr>
                <w:rFonts w:ascii="Times New Roman" w:hAnsi="Times New Roman" w:cs="宋体"/>
                <w:iCs/>
              </w:rPr>
              <w:t>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71" w:hRule="atLeast"/>
        </w:trPr>
        <w:tc>
          <w:tcPr>
            <w:tcW w:w="1560" w:type="dxa"/>
            <w:shd w:val="clear" w:color="auto" w:fill="D9D9D9"/>
            <w:vAlign w:val="center"/>
          </w:tcPr>
          <w:p>
            <w:pPr>
              <w:spacing w:line="360" w:lineRule="auto"/>
              <w:rPr>
                <w:rFonts w:ascii="Times New Roman" w:hAnsi="Times New Roman"/>
                <w:szCs w:val="21"/>
              </w:rPr>
            </w:pPr>
            <w:r>
              <w:rPr>
                <w:rFonts w:ascii="Times New Roman" w:hAnsi="Times New Roman"/>
                <w:szCs w:val="21"/>
              </w:rPr>
              <w:t>交易概况（限200字内）</w:t>
            </w:r>
          </w:p>
        </w:tc>
        <w:tc>
          <w:tcPr>
            <w:tcW w:w="7774" w:type="dxa"/>
            <w:gridSpan w:val="2"/>
            <w:shd w:val="clear" w:color="auto" w:fill="auto"/>
            <w:vAlign w:val="center"/>
          </w:tcPr>
          <w:p>
            <w:pPr>
              <w:widowControl/>
              <w:snapToGrid w:val="0"/>
              <w:spacing w:line="276" w:lineRule="auto"/>
              <w:jc w:val="left"/>
              <w:rPr>
                <w:rFonts w:ascii="Times New Roman" w:hAnsi="Times New Roman"/>
              </w:rPr>
            </w:pPr>
            <w:r>
              <w:rPr>
                <w:rFonts w:hint="eastAsia" w:ascii="Times New Roman" w:hAnsi="Times New Roman"/>
              </w:rPr>
              <w:t>2020年12月21日，重庆市国资委与宝武集团签署《重庆市国有资产监督管理委员会和中国宝武钢铁集团有限公司关于重庆钢铁（集团）有限责任公司股权无偿划转之协议》。根据该协议，中国宝武钢铁集团有限公司（下称“</w:t>
            </w:r>
            <w:r>
              <w:rPr>
                <w:rFonts w:hint="eastAsia" w:ascii="Times New Roman" w:hAnsi="Times New Roman"/>
                <w:b/>
                <w:bCs/>
              </w:rPr>
              <w:t>宝武集团</w:t>
            </w:r>
            <w:r>
              <w:rPr>
                <w:rFonts w:hint="eastAsia" w:ascii="Times New Roman" w:hAnsi="Times New Roman"/>
              </w:rPr>
              <w:t>”）将持有重庆钢铁（集团）有限责任公司（下称“</w:t>
            </w:r>
            <w:r>
              <w:rPr>
                <w:rFonts w:hint="eastAsia" w:ascii="Times New Roman" w:hAnsi="Times New Roman"/>
                <w:b/>
                <w:bCs/>
              </w:rPr>
              <w:t>重钢集团</w:t>
            </w:r>
            <w:r>
              <w:rPr>
                <w:rFonts w:hint="eastAsia" w:ascii="Times New Roman" w:hAnsi="Times New Roman"/>
              </w:rPr>
              <w:t>”）90%的股权，取得对重钢集团的单独控制权。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04" w:hRule="atLeast"/>
        </w:trPr>
        <w:tc>
          <w:tcPr>
            <w:tcW w:w="1560" w:type="dxa"/>
            <w:vMerge w:val="restart"/>
            <w:shd w:val="clear" w:color="auto" w:fill="D9D9D9"/>
            <w:vAlign w:val="center"/>
          </w:tcPr>
          <w:p>
            <w:pPr>
              <w:spacing w:line="360" w:lineRule="auto"/>
              <w:rPr>
                <w:rFonts w:ascii="Times New Roman" w:hAnsi="Times New Roman"/>
                <w:szCs w:val="21"/>
              </w:rPr>
            </w:pPr>
            <w:r>
              <w:rPr>
                <w:rFonts w:ascii="Times New Roman" w:hAnsi="Times New Roman"/>
                <w:szCs w:val="21"/>
              </w:rPr>
              <w:t>参与集中的经营者简介</w:t>
            </w:r>
          </w:p>
        </w:tc>
        <w:tc>
          <w:tcPr>
            <w:tcW w:w="1418" w:type="dxa"/>
            <w:shd w:val="clear" w:color="auto" w:fill="auto"/>
            <w:vAlign w:val="center"/>
          </w:tcPr>
          <w:p>
            <w:pPr>
              <w:spacing w:line="360" w:lineRule="auto"/>
              <w:rPr>
                <w:rFonts w:ascii="Times New Roman" w:hAnsi="Times New Roman"/>
                <w:szCs w:val="21"/>
              </w:rPr>
            </w:pPr>
            <w:r>
              <w:rPr>
                <w:rFonts w:ascii="Times New Roman" w:hAnsi="Times New Roman"/>
                <w:szCs w:val="21"/>
              </w:rPr>
              <w:t xml:space="preserve">1、宝武集团 </w:t>
            </w:r>
          </w:p>
        </w:tc>
        <w:tc>
          <w:tcPr>
            <w:tcW w:w="6356" w:type="dxa"/>
            <w:shd w:val="clear" w:color="auto" w:fill="auto"/>
            <w:vAlign w:val="center"/>
          </w:tcPr>
          <w:p>
            <w:pPr>
              <w:spacing w:line="276" w:lineRule="auto"/>
              <w:rPr>
                <w:rFonts w:ascii="Times New Roman" w:hAnsi="Times New Roman"/>
                <w:szCs w:val="21"/>
              </w:rPr>
            </w:pPr>
            <w:r>
              <w:rPr>
                <w:rFonts w:ascii="Times New Roman" w:hAnsi="Times New Roman"/>
                <w:szCs w:val="21"/>
              </w:rPr>
              <w:t>宝武集团于1992年在上海成立，</w:t>
            </w:r>
            <w:r>
              <w:rPr>
                <w:rFonts w:hint="eastAsia" w:ascii="Times New Roman" w:hAnsi="Times New Roman"/>
                <w:szCs w:val="21"/>
              </w:rPr>
              <w:t>主要在全球范围内供应碳钢和不锈钢两大系列产品，并在中国境内拥有钢铁制造业、新材料产业、智慧服务业、资源环境业、产业园区业、产业金融业等六大业务板块。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97" w:hRule="atLeast"/>
        </w:trPr>
        <w:tc>
          <w:tcPr>
            <w:tcW w:w="1560" w:type="dxa"/>
            <w:vMerge w:val="continue"/>
            <w:shd w:val="clear" w:color="auto" w:fill="D9D9D9"/>
            <w:vAlign w:val="center"/>
          </w:tcPr>
          <w:p>
            <w:pPr>
              <w:spacing w:line="360" w:lineRule="auto"/>
              <w:rPr>
                <w:rFonts w:ascii="Times New Roman" w:hAnsi="Times New Roman"/>
                <w:szCs w:val="21"/>
              </w:rPr>
            </w:pPr>
          </w:p>
        </w:tc>
        <w:tc>
          <w:tcPr>
            <w:tcW w:w="1418" w:type="dxa"/>
            <w:shd w:val="clear" w:color="auto" w:fill="auto"/>
            <w:vAlign w:val="center"/>
          </w:tcPr>
          <w:p>
            <w:pPr>
              <w:spacing w:line="360" w:lineRule="auto"/>
              <w:rPr>
                <w:rFonts w:ascii="Times New Roman" w:hAnsi="Times New Roman"/>
                <w:szCs w:val="21"/>
              </w:rPr>
            </w:pPr>
            <w:r>
              <w:rPr>
                <w:rFonts w:ascii="Times New Roman" w:hAnsi="Times New Roman"/>
                <w:szCs w:val="21"/>
              </w:rPr>
              <w:t>2、</w:t>
            </w:r>
            <w:r>
              <w:rPr>
                <w:rFonts w:hint="eastAsia" w:ascii="Times New Roman" w:hAnsi="Times New Roman"/>
                <w:szCs w:val="21"/>
              </w:rPr>
              <w:t>重钢集团</w:t>
            </w:r>
          </w:p>
        </w:tc>
        <w:tc>
          <w:tcPr>
            <w:tcW w:w="6356" w:type="dxa"/>
            <w:shd w:val="clear" w:color="auto" w:fill="auto"/>
            <w:vAlign w:val="center"/>
          </w:tcPr>
          <w:p>
            <w:pPr>
              <w:spacing w:line="276" w:lineRule="auto"/>
              <w:rPr>
                <w:rFonts w:ascii="Times New Roman" w:hAnsi="Times New Roman"/>
                <w:szCs w:val="21"/>
              </w:rPr>
            </w:pPr>
            <w:r>
              <w:rPr>
                <w:rFonts w:hint="eastAsia" w:ascii="Times New Roman" w:hAnsi="Times New Roman"/>
                <w:szCs w:val="21"/>
              </w:rPr>
              <w:t>重钢集团</w:t>
            </w:r>
            <w:r>
              <w:rPr>
                <w:rFonts w:ascii="Times New Roman" w:hAnsi="Times New Roman"/>
                <w:szCs w:val="21"/>
              </w:rPr>
              <w:t>于1982</w:t>
            </w:r>
            <w:r>
              <w:rPr>
                <w:rFonts w:hint="eastAsia" w:ascii="Times New Roman" w:hAnsi="Times New Roman"/>
                <w:szCs w:val="21"/>
              </w:rPr>
              <w:t>年</w:t>
            </w:r>
            <w:r>
              <w:rPr>
                <w:rFonts w:ascii="Times New Roman" w:hAnsi="Times New Roman"/>
                <w:szCs w:val="21"/>
              </w:rPr>
              <w:t>在</w:t>
            </w:r>
            <w:r>
              <w:rPr>
                <w:rFonts w:hint="eastAsia" w:ascii="Times New Roman" w:hAnsi="Times New Roman"/>
                <w:szCs w:val="21"/>
              </w:rPr>
              <w:t>重庆</w:t>
            </w:r>
            <w:r>
              <w:rPr>
                <w:rFonts w:ascii="Times New Roman" w:hAnsi="Times New Roman"/>
                <w:szCs w:val="21"/>
              </w:rPr>
              <w:t>成立，</w:t>
            </w:r>
            <w:r>
              <w:rPr>
                <w:rFonts w:hint="eastAsia" w:ascii="Times New Roman" w:hAnsi="Times New Roman"/>
                <w:szCs w:val="21"/>
              </w:rPr>
              <w:t>重钢集团</w:t>
            </w:r>
            <w:r>
              <w:rPr>
                <w:rFonts w:ascii="Times New Roman" w:hAnsi="Times New Roman"/>
                <w:bCs/>
                <w:iCs/>
              </w:rPr>
              <w:t>及其关联公司主要在中国境内从事</w:t>
            </w:r>
            <w:r>
              <w:rPr>
                <w:rFonts w:hint="eastAsia" w:ascii="Times New Roman" w:hAnsi="Times New Roman"/>
                <w:iCs/>
                <w:kern w:val="0"/>
                <w:szCs w:val="21"/>
              </w:rPr>
              <w:t>工程建设、钢铁配套业务、矿业及房地产等业务</w:t>
            </w:r>
            <w:r>
              <w:rPr>
                <w:rFonts w:ascii="Times New Roman" w:hAnsi="Times New Roman"/>
                <w:iCs/>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3" w:hRule="atLeast"/>
        </w:trPr>
        <w:tc>
          <w:tcPr>
            <w:tcW w:w="1560" w:type="dxa"/>
            <w:vMerge w:val="restart"/>
            <w:shd w:val="clear" w:color="auto" w:fill="D9D9D9"/>
            <w:vAlign w:val="center"/>
          </w:tcPr>
          <w:p>
            <w:pPr>
              <w:spacing w:line="360" w:lineRule="auto"/>
              <w:rPr>
                <w:rFonts w:ascii="Times New Roman" w:hAnsi="Times New Roman"/>
                <w:szCs w:val="21"/>
              </w:rPr>
            </w:pPr>
            <w:r>
              <w:rPr>
                <w:rFonts w:ascii="Times New Roman" w:hAnsi="Times New Roman"/>
                <w:szCs w:val="21"/>
              </w:rPr>
              <w:t>简易案件理由（可以单选，也可以多选）</w:t>
            </w:r>
          </w:p>
        </w:tc>
        <w:tc>
          <w:tcPr>
            <w:tcW w:w="7774" w:type="dxa"/>
            <w:gridSpan w:val="2"/>
            <w:shd w:val="clear" w:color="auto" w:fill="auto"/>
            <w:vAlign w:val="center"/>
          </w:tcPr>
          <w:p>
            <w:pPr>
              <w:spacing w:line="360" w:lineRule="auto"/>
              <w:rPr>
                <w:rFonts w:ascii="Times New Roman" w:hAnsi="Times New Roman"/>
                <w:szCs w:val="21"/>
              </w:rPr>
            </w:pPr>
            <w:r>
              <w:rPr>
                <w:rFonts w:ascii="Times New Roman" w:hAnsi="Times New Roman"/>
                <w:szCs w:val="21"/>
              </w:rPr>
              <w:sym w:font="Wingdings" w:char="F0FE"/>
            </w:r>
            <w:r>
              <w:rPr>
                <w:rFonts w:ascii="Times New Roman" w:hAnsi="Times New Roman"/>
                <w:szCs w:val="21"/>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7" w:hRule="atLeast"/>
        </w:trPr>
        <w:tc>
          <w:tcPr>
            <w:tcW w:w="1560" w:type="dxa"/>
            <w:vMerge w:val="continue"/>
            <w:shd w:val="clear" w:color="auto" w:fill="D9D9D9"/>
            <w:vAlign w:val="center"/>
          </w:tcPr>
          <w:p>
            <w:pPr>
              <w:spacing w:line="360" w:lineRule="auto"/>
              <w:rPr>
                <w:rFonts w:ascii="Times New Roman" w:hAnsi="Times New Roman"/>
                <w:szCs w:val="21"/>
              </w:rPr>
            </w:pPr>
          </w:p>
        </w:tc>
        <w:tc>
          <w:tcPr>
            <w:tcW w:w="7774" w:type="dxa"/>
            <w:gridSpan w:val="2"/>
            <w:shd w:val="clear" w:color="auto" w:fill="auto"/>
            <w:vAlign w:val="center"/>
          </w:tcPr>
          <w:p>
            <w:pPr>
              <w:spacing w:line="360" w:lineRule="auto"/>
              <w:rPr>
                <w:rFonts w:ascii="Times New Roman" w:hAnsi="Times New Roman"/>
                <w:szCs w:val="21"/>
              </w:rPr>
            </w:pPr>
            <w:r>
              <w:rPr>
                <w:rFonts w:ascii="Times New Roman" w:hAnsi="Times New Roman"/>
                <w:szCs w:val="21"/>
              </w:rPr>
              <w:sym w:font="Wingdings" w:char="F0FE"/>
            </w:r>
            <w:r>
              <w:rPr>
                <w:rFonts w:ascii="Times New Roman" w:hAnsi="Times New Roman"/>
                <w:szCs w:val="21"/>
              </w:rPr>
              <w:t xml:space="preserve">2、存在上下游关系的参与集中的经营者，在上下游市场所占的市场份额均小于25%。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560" w:type="dxa"/>
            <w:vMerge w:val="continue"/>
            <w:shd w:val="clear" w:color="auto" w:fill="D9D9D9"/>
            <w:vAlign w:val="center"/>
          </w:tcPr>
          <w:p>
            <w:pPr>
              <w:spacing w:line="360" w:lineRule="auto"/>
              <w:rPr>
                <w:rFonts w:ascii="Times New Roman" w:hAnsi="Times New Roman"/>
                <w:szCs w:val="21"/>
              </w:rPr>
            </w:pPr>
          </w:p>
        </w:tc>
        <w:tc>
          <w:tcPr>
            <w:tcW w:w="7774" w:type="dxa"/>
            <w:gridSpan w:val="2"/>
            <w:shd w:val="clear" w:color="auto" w:fill="auto"/>
            <w:vAlign w:val="center"/>
          </w:tcPr>
          <w:p>
            <w:pPr>
              <w:spacing w:line="360" w:lineRule="auto"/>
              <w:rPr>
                <w:rFonts w:ascii="Times New Roman" w:hAnsi="Times New Roman"/>
                <w:szCs w:val="21"/>
              </w:rPr>
            </w:pPr>
            <w:r>
              <w:rPr>
                <w:rFonts w:ascii="Times New Roman" w:hAnsi="Times New Roman"/>
                <w:szCs w:val="21"/>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1" w:hRule="atLeast"/>
        </w:trPr>
        <w:tc>
          <w:tcPr>
            <w:tcW w:w="1560" w:type="dxa"/>
            <w:vMerge w:val="continue"/>
            <w:shd w:val="clear" w:color="auto" w:fill="D9D9D9"/>
            <w:vAlign w:val="center"/>
          </w:tcPr>
          <w:p>
            <w:pPr>
              <w:spacing w:line="360" w:lineRule="auto"/>
              <w:rPr>
                <w:rFonts w:ascii="Times New Roman" w:hAnsi="Times New Roman"/>
                <w:szCs w:val="21"/>
              </w:rPr>
            </w:pPr>
          </w:p>
        </w:tc>
        <w:tc>
          <w:tcPr>
            <w:tcW w:w="7774" w:type="dxa"/>
            <w:gridSpan w:val="2"/>
            <w:shd w:val="clear" w:color="auto" w:fill="auto"/>
            <w:vAlign w:val="center"/>
          </w:tcPr>
          <w:p>
            <w:pPr>
              <w:spacing w:line="360" w:lineRule="auto"/>
              <w:rPr>
                <w:rFonts w:ascii="Times New Roman" w:hAnsi="Times New Roman"/>
                <w:szCs w:val="21"/>
              </w:rPr>
            </w:pPr>
            <w:r>
              <w:rPr>
                <w:rFonts w:ascii="Times New Roman" w:hAnsi="Times New Roman"/>
                <w:szCs w:val="21"/>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560" w:type="dxa"/>
            <w:vMerge w:val="continue"/>
            <w:shd w:val="clear" w:color="auto" w:fill="D9D9D9"/>
            <w:vAlign w:val="center"/>
          </w:tcPr>
          <w:p>
            <w:pPr>
              <w:spacing w:line="360" w:lineRule="auto"/>
              <w:rPr>
                <w:rFonts w:ascii="Times New Roman" w:hAnsi="Times New Roman"/>
                <w:szCs w:val="21"/>
              </w:rPr>
            </w:pPr>
          </w:p>
        </w:tc>
        <w:tc>
          <w:tcPr>
            <w:tcW w:w="7774" w:type="dxa"/>
            <w:gridSpan w:val="2"/>
            <w:shd w:val="clear" w:color="auto" w:fill="auto"/>
            <w:vAlign w:val="center"/>
          </w:tcPr>
          <w:p>
            <w:pPr>
              <w:spacing w:line="360" w:lineRule="auto"/>
              <w:rPr>
                <w:rFonts w:ascii="Times New Roman" w:hAnsi="Times New Roman"/>
                <w:szCs w:val="21"/>
              </w:rPr>
            </w:pPr>
            <w:r>
              <w:rPr>
                <w:rFonts w:ascii="Times New Roman" w:hAnsi="Times New Roman"/>
                <w:szCs w:val="21"/>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560" w:type="dxa"/>
            <w:vMerge w:val="continue"/>
            <w:shd w:val="clear" w:color="auto" w:fill="D9D9D9"/>
            <w:vAlign w:val="center"/>
          </w:tcPr>
          <w:p>
            <w:pPr>
              <w:spacing w:line="360" w:lineRule="auto"/>
              <w:rPr>
                <w:rFonts w:ascii="Times New Roman" w:hAnsi="Times New Roman"/>
                <w:szCs w:val="21"/>
              </w:rPr>
            </w:pPr>
          </w:p>
        </w:tc>
        <w:tc>
          <w:tcPr>
            <w:tcW w:w="7774" w:type="dxa"/>
            <w:gridSpan w:val="2"/>
            <w:shd w:val="clear" w:color="auto" w:fill="auto"/>
            <w:vAlign w:val="center"/>
          </w:tcPr>
          <w:p>
            <w:pPr>
              <w:spacing w:line="360" w:lineRule="auto"/>
              <w:rPr>
                <w:rFonts w:ascii="Times New Roman" w:hAnsi="Times New Roman"/>
                <w:szCs w:val="21"/>
              </w:rPr>
            </w:pPr>
            <w:r>
              <w:rPr>
                <w:rFonts w:ascii="Times New Roman" w:hAnsi="Times New Roman"/>
                <w:szCs w:val="21"/>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4" w:hRule="atLeast"/>
        </w:trPr>
        <w:tc>
          <w:tcPr>
            <w:tcW w:w="1560" w:type="dxa"/>
            <w:shd w:val="clear" w:color="auto" w:fill="D9D9D9"/>
            <w:vAlign w:val="center"/>
          </w:tcPr>
          <w:p>
            <w:pPr>
              <w:spacing w:line="360" w:lineRule="auto"/>
              <w:rPr>
                <w:rFonts w:ascii="Times New Roman" w:hAnsi="Times New Roman"/>
                <w:szCs w:val="21"/>
              </w:rPr>
            </w:pPr>
            <w:r>
              <w:rPr>
                <w:rFonts w:ascii="Times New Roman" w:hAnsi="Times New Roman"/>
                <w:szCs w:val="21"/>
              </w:rPr>
              <w:t>备注</w:t>
            </w:r>
          </w:p>
        </w:tc>
        <w:tc>
          <w:tcPr>
            <w:tcW w:w="7774" w:type="dxa"/>
            <w:gridSpan w:val="2"/>
            <w:shd w:val="clear" w:color="auto" w:fill="auto"/>
            <w:vAlign w:val="center"/>
          </w:tcPr>
          <w:p>
            <w:pPr>
              <w:snapToGrid w:val="0"/>
              <w:spacing w:before="156" w:beforeLines="50" w:line="360" w:lineRule="auto"/>
              <w:rPr>
                <w:rFonts w:ascii="Times New Roman" w:hAnsi="Times New Roman"/>
                <w:szCs w:val="21"/>
              </w:rPr>
            </w:pPr>
            <w:r>
              <w:rPr>
                <w:rFonts w:ascii="Times New Roman" w:hAnsi="Times New Roman"/>
                <w:szCs w:val="21"/>
              </w:rPr>
              <w:t>参与集中的各经营者在各相关市场的市场份额如下：</w:t>
            </w:r>
          </w:p>
          <w:tbl>
            <w:tblPr>
              <w:tblStyle w:val="13"/>
              <w:tblW w:w="75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1"/>
              <w:gridCol w:w="2483"/>
              <w:gridCol w:w="1559"/>
              <w:gridCol w:w="1559"/>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blHeader/>
              </w:trPr>
              <w:tc>
                <w:tcPr>
                  <w:tcW w:w="671" w:type="dxa"/>
                  <w:shd w:val="clear" w:color="auto" w:fill="D9D9D9"/>
                  <w:vAlign w:val="center"/>
                </w:tcPr>
                <w:p>
                  <w:pPr>
                    <w:snapToGrid w:val="0"/>
                    <w:spacing w:before="156" w:beforeLines="50" w:line="360" w:lineRule="auto"/>
                    <w:jc w:val="center"/>
                    <w:rPr>
                      <w:rFonts w:ascii="Times New Roman" w:hAnsi="Times New Roman"/>
                      <w:b/>
                      <w:szCs w:val="21"/>
                    </w:rPr>
                  </w:pPr>
                  <w:r>
                    <w:rPr>
                      <w:rFonts w:ascii="Times New Roman" w:hAnsi="Times New Roman"/>
                      <w:b/>
                      <w:szCs w:val="21"/>
                    </w:rPr>
                    <w:t>序号</w:t>
                  </w:r>
                </w:p>
              </w:tc>
              <w:tc>
                <w:tcPr>
                  <w:tcW w:w="2483" w:type="dxa"/>
                  <w:shd w:val="clear" w:color="auto" w:fill="D9D9D9"/>
                  <w:vAlign w:val="center"/>
                </w:tcPr>
                <w:p>
                  <w:pPr>
                    <w:snapToGrid w:val="0"/>
                    <w:spacing w:before="156" w:beforeLines="50" w:line="360" w:lineRule="auto"/>
                    <w:jc w:val="center"/>
                    <w:rPr>
                      <w:rFonts w:ascii="Times New Roman" w:hAnsi="Times New Roman"/>
                      <w:b/>
                      <w:szCs w:val="21"/>
                    </w:rPr>
                  </w:pPr>
                  <w:r>
                    <w:rPr>
                      <w:rFonts w:ascii="Times New Roman" w:hAnsi="Times New Roman"/>
                      <w:b/>
                      <w:szCs w:val="21"/>
                    </w:rPr>
                    <w:t>相关商品市场</w:t>
                  </w:r>
                </w:p>
              </w:tc>
              <w:tc>
                <w:tcPr>
                  <w:tcW w:w="1559" w:type="dxa"/>
                  <w:shd w:val="clear" w:color="auto" w:fill="D9D9D9"/>
                  <w:vAlign w:val="center"/>
                </w:tcPr>
                <w:p>
                  <w:pPr>
                    <w:snapToGrid w:val="0"/>
                    <w:spacing w:before="156" w:beforeLines="50" w:line="360" w:lineRule="auto"/>
                    <w:jc w:val="center"/>
                    <w:rPr>
                      <w:rFonts w:ascii="Times New Roman" w:hAnsi="Times New Roman"/>
                      <w:b/>
                      <w:szCs w:val="21"/>
                    </w:rPr>
                  </w:pPr>
                  <w:r>
                    <w:rPr>
                      <w:rFonts w:ascii="Times New Roman" w:hAnsi="Times New Roman"/>
                      <w:b/>
                      <w:szCs w:val="21"/>
                    </w:rPr>
                    <w:t>相关地域市场</w:t>
                  </w:r>
                </w:p>
              </w:tc>
              <w:tc>
                <w:tcPr>
                  <w:tcW w:w="1559" w:type="dxa"/>
                  <w:shd w:val="clear" w:color="auto" w:fill="D9D9D9"/>
                  <w:vAlign w:val="center"/>
                </w:tcPr>
                <w:p>
                  <w:pPr>
                    <w:snapToGrid w:val="0"/>
                    <w:spacing w:before="156" w:beforeLines="50" w:line="360" w:lineRule="auto"/>
                    <w:jc w:val="center"/>
                    <w:rPr>
                      <w:rFonts w:ascii="Times New Roman" w:hAnsi="Times New Roman"/>
                      <w:b/>
                      <w:szCs w:val="21"/>
                    </w:rPr>
                  </w:pPr>
                  <w:r>
                    <w:rPr>
                      <w:rFonts w:ascii="Times New Roman" w:hAnsi="Times New Roman"/>
                      <w:b/>
                      <w:szCs w:val="21"/>
                    </w:rPr>
                    <w:t>宝武集团</w:t>
                  </w:r>
                </w:p>
                <w:p>
                  <w:pPr>
                    <w:snapToGrid w:val="0"/>
                    <w:spacing w:before="156" w:beforeLines="50" w:line="360" w:lineRule="auto"/>
                    <w:jc w:val="center"/>
                    <w:rPr>
                      <w:rFonts w:ascii="Times New Roman" w:hAnsi="Times New Roman"/>
                      <w:b/>
                      <w:szCs w:val="21"/>
                    </w:rPr>
                  </w:pPr>
                  <w:r>
                    <w:rPr>
                      <w:rFonts w:ascii="Times New Roman" w:hAnsi="Times New Roman"/>
                      <w:b/>
                      <w:szCs w:val="21"/>
                    </w:rPr>
                    <w:t>市场份额</w:t>
                  </w:r>
                </w:p>
              </w:tc>
              <w:tc>
                <w:tcPr>
                  <w:tcW w:w="1276" w:type="dxa"/>
                  <w:shd w:val="clear" w:color="auto" w:fill="D9D9D9"/>
                  <w:vAlign w:val="center"/>
                </w:tcPr>
                <w:p>
                  <w:pPr>
                    <w:snapToGrid w:val="0"/>
                    <w:spacing w:before="156" w:beforeLines="50" w:line="360" w:lineRule="auto"/>
                    <w:jc w:val="center"/>
                    <w:rPr>
                      <w:rFonts w:ascii="Times New Roman" w:hAnsi="Times New Roman"/>
                      <w:b/>
                      <w:szCs w:val="21"/>
                    </w:rPr>
                  </w:pPr>
                  <w:r>
                    <w:rPr>
                      <w:rFonts w:hint="eastAsia" w:ascii="Times New Roman" w:hAnsi="Times New Roman"/>
                      <w:b/>
                      <w:szCs w:val="21"/>
                    </w:rPr>
                    <w:t>重钢集团</w:t>
                  </w:r>
                </w:p>
                <w:p>
                  <w:pPr>
                    <w:snapToGrid w:val="0"/>
                    <w:spacing w:before="156" w:beforeLines="50" w:line="360" w:lineRule="auto"/>
                    <w:jc w:val="center"/>
                    <w:rPr>
                      <w:rFonts w:ascii="Times New Roman" w:hAnsi="Times New Roman"/>
                      <w:b/>
                      <w:szCs w:val="21"/>
                    </w:rPr>
                  </w:pPr>
                  <w:r>
                    <w:rPr>
                      <w:rFonts w:ascii="Times New Roman" w:hAnsi="Times New Roman"/>
                      <w:b/>
                      <w:szCs w:val="21"/>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71" w:type="dxa"/>
                  <w:shd w:val="clear" w:color="auto" w:fill="auto"/>
                  <w:vAlign w:val="center"/>
                </w:tcPr>
                <w:p>
                  <w:pPr>
                    <w:snapToGrid w:val="0"/>
                    <w:spacing w:before="156" w:beforeLines="50" w:line="360" w:lineRule="auto"/>
                    <w:jc w:val="center"/>
                    <w:rPr>
                      <w:rFonts w:ascii="Times New Roman" w:hAnsi="Times New Roman"/>
                      <w:szCs w:val="21"/>
                    </w:rPr>
                  </w:pPr>
                  <w:r>
                    <w:rPr>
                      <w:rFonts w:ascii="Times New Roman" w:hAnsi="Times New Roman"/>
                      <w:szCs w:val="21"/>
                    </w:rPr>
                    <w:t>1</w:t>
                  </w:r>
                </w:p>
              </w:tc>
              <w:tc>
                <w:tcPr>
                  <w:tcW w:w="2483"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无缝钢管市场</w:t>
                  </w:r>
                </w:p>
              </w:tc>
              <w:tc>
                <w:tcPr>
                  <w:tcW w:w="1559" w:type="dxa"/>
                  <w:shd w:val="clear" w:color="auto" w:fill="auto"/>
                  <w:vAlign w:val="center"/>
                </w:tcPr>
                <w:p>
                  <w:pPr>
                    <w:snapToGrid w:val="0"/>
                    <w:spacing w:before="156" w:beforeLines="50" w:line="360" w:lineRule="auto"/>
                    <w:jc w:val="center"/>
                    <w:rPr>
                      <w:rFonts w:ascii="Times New Roman" w:hAnsi="Times New Roman"/>
                      <w:szCs w:val="21"/>
                    </w:rPr>
                  </w:pPr>
                  <w:r>
                    <w:rPr>
                      <w:rFonts w:ascii="Times New Roman" w:hAnsi="Times New Roman"/>
                      <w:szCs w:val="21"/>
                    </w:rPr>
                    <w:t>中国</w:t>
                  </w:r>
                </w:p>
              </w:tc>
              <w:tc>
                <w:tcPr>
                  <w:tcW w:w="1559" w:type="dxa"/>
                  <w:shd w:val="clear" w:color="auto" w:fill="auto"/>
                  <w:vAlign w:val="center"/>
                </w:tcPr>
                <w:p>
                  <w:pPr>
                    <w:snapToGrid w:val="0"/>
                    <w:spacing w:before="156" w:beforeLines="50" w:line="360" w:lineRule="auto"/>
                    <w:jc w:val="center"/>
                    <w:rPr>
                      <w:rFonts w:ascii="Times New Roman" w:hAnsi="Times New Roman"/>
                      <w:szCs w:val="21"/>
                    </w:rPr>
                  </w:pPr>
                  <w:r>
                    <w:rPr>
                      <w:rFonts w:ascii="Times New Roman" w:hAnsi="Times New Roman"/>
                      <w:szCs w:val="21"/>
                    </w:rPr>
                    <w:t>5</w:t>
                  </w:r>
                  <w:r>
                    <w:rPr>
                      <w:rFonts w:hint="eastAsia" w:ascii="Times New Roman" w:hAnsi="Times New Roman"/>
                      <w:szCs w:val="21"/>
                    </w:rPr>
                    <w:t>%-</w:t>
                  </w:r>
                  <w:r>
                    <w:rPr>
                      <w:rFonts w:ascii="Times New Roman" w:hAnsi="Times New Roman"/>
                      <w:szCs w:val="21"/>
                    </w:rPr>
                    <w:t>10</w:t>
                  </w:r>
                  <w:r>
                    <w:rPr>
                      <w:rFonts w:hint="eastAsia" w:ascii="Times New Roman" w:hAnsi="Times New Roman"/>
                      <w:szCs w:val="21"/>
                    </w:rPr>
                    <w:t>%</w:t>
                  </w:r>
                </w:p>
              </w:tc>
              <w:tc>
                <w:tcPr>
                  <w:tcW w:w="1276" w:type="dxa"/>
                  <w:vAlign w:val="center"/>
                </w:tcPr>
                <w:p>
                  <w:pPr>
                    <w:snapToGrid w:val="0"/>
                    <w:spacing w:before="156" w:beforeLines="50" w:line="360" w:lineRule="auto"/>
                    <w:jc w:val="center"/>
                    <w:rPr>
                      <w:rFonts w:ascii="Times New Roman" w:hAnsi="Times New Roman"/>
                      <w:szCs w:val="21"/>
                    </w:rPr>
                  </w:pPr>
                  <w:r>
                    <w:rPr>
                      <w:rFonts w:ascii="Times New Roman" w:hAnsi="Times New Roman"/>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71" w:type="dxa"/>
                  <w:shd w:val="clear" w:color="auto" w:fill="auto"/>
                  <w:vAlign w:val="center"/>
                </w:tcPr>
                <w:p>
                  <w:pPr>
                    <w:snapToGrid w:val="0"/>
                    <w:spacing w:before="156" w:beforeLines="50" w:line="360" w:lineRule="auto"/>
                    <w:jc w:val="center"/>
                    <w:rPr>
                      <w:rFonts w:ascii="Times New Roman" w:hAnsi="Times New Roman"/>
                      <w:szCs w:val="21"/>
                    </w:rPr>
                  </w:pPr>
                  <w:r>
                    <w:rPr>
                      <w:rFonts w:ascii="Times New Roman" w:hAnsi="Times New Roman"/>
                      <w:szCs w:val="21"/>
                    </w:rPr>
                    <w:t>2</w:t>
                  </w:r>
                </w:p>
              </w:tc>
              <w:tc>
                <w:tcPr>
                  <w:tcW w:w="2483"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铁矿石</w:t>
                  </w:r>
                </w:p>
              </w:tc>
              <w:tc>
                <w:tcPr>
                  <w:tcW w:w="1559"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全球</w:t>
                  </w:r>
                </w:p>
              </w:tc>
              <w:tc>
                <w:tcPr>
                  <w:tcW w:w="1559" w:type="dxa"/>
                  <w:shd w:val="clear" w:color="auto" w:fill="auto"/>
                  <w:vAlign w:val="center"/>
                </w:tcPr>
                <w:p>
                  <w:pPr>
                    <w:snapToGrid w:val="0"/>
                    <w:spacing w:before="156" w:beforeLines="50" w:line="360" w:lineRule="auto"/>
                    <w:jc w:val="center"/>
                    <w:rPr>
                      <w:rFonts w:ascii="Times New Roman" w:hAnsi="Times New Roman"/>
                      <w:szCs w:val="21"/>
                    </w:rPr>
                  </w:pPr>
                  <w:r>
                    <w:rPr>
                      <w:rFonts w:ascii="Times New Roman" w:hAnsi="Times New Roman"/>
                      <w:szCs w:val="21"/>
                    </w:rPr>
                    <w:t>0</w:t>
                  </w:r>
                  <w:r>
                    <w:rPr>
                      <w:rFonts w:hint="eastAsia" w:ascii="Times New Roman" w:hAnsi="Times New Roman"/>
                      <w:szCs w:val="21"/>
                    </w:rPr>
                    <w:t>%-</w:t>
                  </w:r>
                  <w:r>
                    <w:rPr>
                      <w:rFonts w:ascii="Times New Roman" w:hAnsi="Times New Roman"/>
                      <w:szCs w:val="21"/>
                    </w:rPr>
                    <w:t>5</w:t>
                  </w:r>
                  <w:r>
                    <w:rPr>
                      <w:rFonts w:hint="eastAsia" w:ascii="Times New Roman" w:hAnsi="Times New Roman"/>
                      <w:szCs w:val="21"/>
                    </w:rPr>
                    <w:t>%</w:t>
                  </w:r>
                </w:p>
              </w:tc>
              <w:tc>
                <w:tcPr>
                  <w:tcW w:w="1276" w:type="dxa"/>
                  <w:vAlign w:val="center"/>
                </w:tcPr>
                <w:p>
                  <w:pPr>
                    <w:snapToGrid w:val="0"/>
                    <w:spacing w:before="156" w:beforeLines="50" w:line="360" w:lineRule="auto"/>
                    <w:jc w:val="center"/>
                    <w:rPr>
                      <w:rFonts w:ascii="Times New Roman" w:hAnsi="Times New Roman"/>
                      <w:szCs w:val="21"/>
                    </w:rPr>
                  </w:pPr>
                  <w:r>
                    <w:rPr>
                      <w:rFonts w:ascii="Times New Roman" w:hAnsi="Times New Roman"/>
                      <w:szCs w:val="21"/>
                    </w:rPr>
                    <w:t>0%</w:t>
                  </w:r>
                  <w:r>
                    <w:rPr>
                      <w:rFonts w:hint="eastAsia" w:ascii="Times New Roman" w:hAnsi="Times New Roman"/>
                      <w:szCs w:val="21"/>
                    </w:rPr>
                    <w:t>-</w:t>
                  </w:r>
                  <w:r>
                    <w:rPr>
                      <w:rFonts w:ascii="Times New Roman" w:hAnsi="Times New Roman"/>
                      <w:szCs w:val="21"/>
                    </w:rPr>
                    <w:t>5</w:t>
                  </w:r>
                  <w:r>
                    <w:rPr>
                      <w:rFonts w:hint="eastAsia" w:ascii="Times New Roman" w:hAnsi="Times New Roman"/>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71"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3</w:t>
                  </w:r>
                </w:p>
              </w:tc>
              <w:tc>
                <w:tcPr>
                  <w:tcW w:w="2483"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线材</w:t>
                  </w:r>
                </w:p>
              </w:tc>
              <w:tc>
                <w:tcPr>
                  <w:tcW w:w="1559"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中国</w:t>
                  </w:r>
                </w:p>
              </w:tc>
              <w:tc>
                <w:tcPr>
                  <w:tcW w:w="1559"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0%-</w:t>
                  </w:r>
                  <w:r>
                    <w:rPr>
                      <w:rFonts w:ascii="Times New Roman" w:hAnsi="Times New Roman"/>
                      <w:szCs w:val="21"/>
                    </w:rPr>
                    <w:t>5</w:t>
                  </w:r>
                  <w:r>
                    <w:rPr>
                      <w:rFonts w:hint="eastAsia" w:ascii="Times New Roman" w:hAnsi="Times New Roman"/>
                      <w:szCs w:val="21"/>
                    </w:rPr>
                    <w:t>%</w:t>
                  </w:r>
                </w:p>
              </w:tc>
              <w:tc>
                <w:tcPr>
                  <w:tcW w:w="1276" w:type="dxa"/>
                  <w:vAlign w:val="center"/>
                </w:tcPr>
                <w:p>
                  <w:pPr>
                    <w:snapToGrid w:val="0"/>
                    <w:spacing w:before="156" w:beforeLines="50" w:line="360" w:lineRule="auto"/>
                    <w:jc w:val="center"/>
                    <w:rPr>
                      <w:rFonts w:ascii="Times New Roman" w:hAnsi="Times New Roman"/>
                      <w:szCs w:val="21"/>
                    </w:rPr>
                  </w:pPr>
                  <w:r>
                    <w:rPr>
                      <w:rFonts w:ascii="Times New Roman" w:hAnsi="Times New Roman"/>
                      <w:szCs w:val="21"/>
                    </w:rPr>
                    <w:t>0%</w:t>
                  </w:r>
                  <w:r>
                    <w:rPr>
                      <w:rFonts w:hint="eastAsia" w:ascii="Times New Roman" w:hAnsi="Times New Roman"/>
                      <w:szCs w:val="21"/>
                    </w:rPr>
                    <w:t>-</w:t>
                  </w:r>
                  <w:r>
                    <w:rPr>
                      <w:rFonts w:ascii="Times New Roman" w:hAnsi="Times New Roman"/>
                      <w:szCs w:val="21"/>
                    </w:rPr>
                    <w:t>5</w:t>
                  </w:r>
                  <w:r>
                    <w:rPr>
                      <w:rFonts w:hint="eastAsia" w:ascii="Times New Roman" w:hAnsi="Times New Roman"/>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71"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4</w:t>
                  </w:r>
                </w:p>
              </w:tc>
              <w:tc>
                <w:tcPr>
                  <w:tcW w:w="2483"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钢筋</w:t>
                  </w:r>
                </w:p>
              </w:tc>
              <w:tc>
                <w:tcPr>
                  <w:tcW w:w="1559"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中国</w:t>
                  </w:r>
                </w:p>
              </w:tc>
              <w:tc>
                <w:tcPr>
                  <w:tcW w:w="1559"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5%-</w:t>
                  </w:r>
                  <w:r>
                    <w:rPr>
                      <w:rFonts w:ascii="Times New Roman" w:hAnsi="Times New Roman"/>
                      <w:szCs w:val="21"/>
                    </w:rPr>
                    <w:t>10</w:t>
                  </w:r>
                  <w:r>
                    <w:rPr>
                      <w:rFonts w:hint="eastAsia" w:ascii="Times New Roman" w:hAnsi="Times New Roman"/>
                      <w:szCs w:val="21"/>
                    </w:rPr>
                    <w:t>%</w:t>
                  </w:r>
                </w:p>
              </w:tc>
              <w:tc>
                <w:tcPr>
                  <w:tcW w:w="1276" w:type="dxa"/>
                  <w:vAlign w:val="center"/>
                </w:tcPr>
                <w:p>
                  <w:pPr>
                    <w:snapToGrid w:val="0"/>
                    <w:spacing w:before="156" w:beforeLines="50" w:line="360" w:lineRule="auto"/>
                    <w:jc w:val="center"/>
                    <w:rPr>
                      <w:rFonts w:ascii="Times New Roman" w:hAnsi="Times New Roman"/>
                      <w:szCs w:val="21"/>
                    </w:rPr>
                  </w:pPr>
                  <w:r>
                    <w:rPr>
                      <w:rFonts w:ascii="Times New Roman" w:hAnsi="Times New Roman"/>
                      <w:szCs w:val="21"/>
                    </w:rPr>
                    <w:t>0%</w:t>
                  </w:r>
                  <w:r>
                    <w:rPr>
                      <w:rFonts w:hint="eastAsia" w:ascii="Times New Roman" w:hAnsi="Times New Roman"/>
                      <w:szCs w:val="21"/>
                    </w:rPr>
                    <w:t>-</w:t>
                  </w:r>
                  <w:r>
                    <w:rPr>
                      <w:rFonts w:ascii="Times New Roman" w:hAnsi="Times New Roman"/>
                      <w:szCs w:val="21"/>
                    </w:rPr>
                    <w:t>5</w:t>
                  </w:r>
                  <w:r>
                    <w:rPr>
                      <w:rFonts w:hint="eastAsia" w:ascii="Times New Roman" w:hAnsi="Times New Roman"/>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71"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5</w:t>
                  </w:r>
                </w:p>
              </w:tc>
              <w:tc>
                <w:tcPr>
                  <w:tcW w:w="2483"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热轧板带</w:t>
                  </w:r>
                </w:p>
              </w:tc>
              <w:tc>
                <w:tcPr>
                  <w:tcW w:w="1559"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中国</w:t>
                  </w:r>
                </w:p>
              </w:tc>
              <w:tc>
                <w:tcPr>
                  <w:tcW w:w="1559"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1</w:t>
                  </w:r>
                  <w:r>
                    <w:rPr>
                      <w:rFonts w:ascii="Times New Roman" w:hAnsi="Times New Roman"/>
                      <w:szCs w:val="21"/>
                    </w:rPr>
                    <w:t>0</w:t>
                  </w:r>
                  <w:r>
                    <w:rPr>
                      <w:rFonts w:hint="eastAsia" w:ascii="Times New Roman" w:hAnsi="Times New Roman"/>
                      <w:szCs w:val="21"/>
                    </w:rPr>
                    <w:t>%-</w:t>
                  </w:r>
                  <w:r>
                    <w:rPr>
                      <w:rFonts w:ascii="Times New Roman" w:hAnsi="Times New Roman"/>
                      <w:szCs w:val="21"/>
                    </w:rPr>
                    <w:t>15</w:t>
                  </w:r>
                  <w:r>
                    <w:rPr>
                      <w:rFonts w:hint="eastAsia" w:ascii="Times New Roman" w:hAnsi="Times New Roman"/>
                      <w:szCs w:val="21"/>
                    </w:rPr>
                    <w:t>%</w:t>
                  </w:r>
                </w:p>
              </w:tc>
              <w:tc>
                <w:tcPr>
                  <w:tcW w:w="1276" w:type="dxa"/>
                  <w:vAlign w:val="center"/>
                </w:tcPr>
                <w:p>
                  <w:pPr>
                    <w:snapToGrid w:val="0"/>
                    <w:spacing w:before="156" w:beforeLines="50" w:line="360" w:lineRule="auto"/>
                    <w:jc w:val="center"/>
                    <w:rPr>
                      <w:rFonts w:ascii="Times New Roman" w:hAnsi="Times New Roman"/>
                      <w:szCs w:val="21"/>
                    </w:rPr>
                  </w:pPr>
                  <w:r>
                    <w:rPr>
                      <w:rFonts w:ascii="Times New Roman" w:hAnsi="Times New Roman"/>
                      <w:szCs w:val="21"/>
                    </w:rPr>
                    <w:t>0%</w:t>
                  </w:r>
                  <w:r>
                    <w:rPr>
                      <w:rFonts w:hint="eastAsia" w:ascii="Times New Roman" w:hAnsi="Times New Roman"/>
                      <w:szCs w:val="21"/>
                    </w:rPr>
                    <w:t>-</w:t>
                  </w:r>
                  <w:r>
                    <w:rPr>
                      <w:rFonts w:ascii="Times New Roman" w:hAnsi="Times New Roman"/>
                      <w:szCs w:val="21"/>
                    </w:rPr>
                    <w:t>5</w:t>
                  </w:r>
                  <w:r>
                    <w:rPr>
                      <w:rFonts w:hint="eastAsia" w:ascii="Times New Roman" w:hAnsi="Times New Roman"/>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71" w:type="dxa"/>
                  <w:shd w:val="clear" w:color="auto" w:fill="auto"/>
                  <w:vAlign w:val="center"/>
                </w:tcPr>
                <w:p>
                  <w:pPr>
                    <w:snapToGrid w:val="0"/>
                    <w:spacing w:before="156" w:beforeLines="50" w:line="360" w:lineRule="auto"/>
                    <w:jc w:val="center"/>
                    <w:rPr>
                      <w:rFonts w:ascii="Times New Roman" w:hAnsi="Times New Roman"/>
                      <w:szCs w:val="21"/>
                    </w:rPr>
                  </w:pPr>
                  <w:r>
                    <w:rPr>
                      <w:rFonts w:hint="eastAsia" w:ascii="Times New Roman" w:hAnsi="Times New Roman"/>
                      <w:szCs w:val="21"/>
                    </w:rPr>
                    <w:t>6</w:t>
                  </w:r>
                </w:p>
              </w:tc>
              <w:tc>
                <w:tcPr>
                  <w:tcW w:w="2483" w:type="dxa"/>
                  <w:shd w:val="clear" w:color="auto" w:fill="auto"/>
                  <w:vAlign w:val="center"/>
                </w:tcPr>
                <w:p>
                  <w:pPr>
                    <w:snapToGrid w:val="0"/>
                    <w:spacing w:before="156" w:beforeLines="50"/>
                    <w:jc w:val="center"/>
                    <w:rPr>
                      <w:rFonts w:ascii="Times New Roman" w:hAnsi="Times New Roman"/>
                      <w:szCs w:val="21"/>
                    </w:rPr>
                  </w:pPr>
                  <w:r>
                    <w:rPr>
                      <w:rFonts w:hint="eastAsia" w:ascii="Times New Roman" w:hAnsi="Times New Roman"/>
                      <w:szCs w:val="21"/>
                    </w:rPr>
                    <w:t>空分气体</w:t>
                  </w:r>
                </w:p>
                <w:p>
                  <w:pPr>
                    <w:snapToGrid w:val="0"/>
                    <w:spacing w:before="156" w:beforeLines="50"/>
                    <w:jc w:val="center"/>
                    <w:rPr>
                      <w:rFonts w:ascii="Times New Roman" w:hAnsi="Times New Roman"/>
                      <w:szCs w:val="21"/>
                    </w:rPr>
                  </w:pPr>
                  <w:r>
                    <w:rPr>
                      <w:rFonts w:hint="eastAsia" w:ascii="Times New Roman" w:hAnsi="Times New Roman"/>
                      <w:szCs w:val="21"/>
                    </w:rPr>
                    <w:t>（现场大型管道供气）</w:t>
                  </w:r>
                </w:p>
              </w:tc>
              <w:tc>
                <w:tcPr>
                  <w:tcW w:w="1559" w:type="dxa"/>
                  <w:shd w:val="clear" w:color="auto" w:fill="auto"/>
                  <w:vAlign w:val="center"/>
                </w:tcPr>
                <w:p>
                  <w:pPr>
                    <w:snapToGrid w:val="0"/>
                    <w:spacing w:before="156" w:beforeLines="50"/>
                    <w:jc w:val="center"/>
                    <w:rPr>
                      <w:rFonts w:ascii="Times New Roman" w:hAnsi="Times New Roman"/>
                      <w:szCs w:val="21"/>
                    </w:rPr>
                  </w:pPr>
                  <w:r>
                    <w:rPr>
                      <w:rFonts w:hint="eastAsia" w:ascii="Times New Roman" w:hAnsi="Times New Roman"/>
                      <w:szCs w:val="21"/>
                    </w:rPr>
                    <w:t>中国</w:t>
                  </w:r>
                </w:p>
              </w:tc>
              <w:tc>
                <w:tcPr>
                  <w:tcW w:w="1559" w:type="dxa"/>
                  <w:shd w:val="clear" w:color="auto" w:fill="auto"/>
                  <w:vAlign w:val="center"/>
                </w:tcPr>
                <w:p>
                  <w:pPr>
                    <w:snapToGrid w:val="0"/>
                    <w:spacing w:before="156" w:beforeLines="50"/>
                    <w:jc w:val="center"/>
                    <w:rPr>
                      <w:rFonts w:ascii="Times New Roman" w:hAnsi="Times New Roman"/>
                      <w:szCs w:val="21"/>
                    </w:rPr>
                  </w:pPr>
                  <w:r>
                    <w:rPr>
                      <w:rFonts w:ascii="Times New Roman" w:hAnsi="Times New Roman"/>
                      <w:szCs w:val="21"/>
                    </w:rPr>
                    <w:t>0%</w:t>
                  </w:r>
                  <w:r>
                    <w:rPr>
                      <w:rFonts w:hint="eastAsia" w:ascii="Times New Roman" w:hAnsi="Times New Roman"/>
                      <w:szCs w:val="21"/>
                    </w:rPr>
                    <w:t>-</w:t>
                  </w:r>
                  <w:r>
                    <w:rPr>
                      <w:rFonts w:ascii="Times New Roman" w:hAnsi="Times New Roman"/>
                      <w:szCs w:val="21"/>
                    </w:rPr>
                    <w:t>5</w:t>
                  </w:r>
                  <w:r>
                    <w:rPr>
                      <w:rFonts w:hint="eastAsia" w:ascii="Times New Roman" w:hAnsi="Times New Roman"/>
                      <w:szCs w:val="21"/>
                    </w:rPr>
                    <w:t>%</w:t>
                  </w:r>
                </w:p>
              </w:tc>
              <w:tc>
                <w:tcPr>
                  <w:tcW w:w="1276" w:type="dxa"/>
                  <w:vAlign w:val="center"/>
                </w:tcPr>
                <w:p>
                  <w:pPr>
                    <w:snapToGrid w:val="0"/>
                    <w:spacing w:before="156" w:beforeLines="50"/>
                    <w:jc w:val="center"/>
                    <w:rPr>
                      <w:rFonts w:ascii="Times New Roman" w:hAnsi="Times New Roman"/>
                      <w:szCs w:val="21"/>
                    </w:rPr>
                  </w:pPr>
                  <w:r>
                    <w:rPr>
                      <w:rFonts w:hint="eastAsia" w:ascii="Times New Roman" w:hAnsi="Times New Roman"/>
                      <w:szCs w:val="21"/>
                    </w:rPr>
                    <w:t>0%-</w:t>
                  </w:r>
                  <w:r>
                    <w:rPr>
                      <w:rFonts w:ascii="Times New Roman" w:hAnsi="Times New Roman"/>
                      <w:szCs w:val="21"/>
                    </w:rPr>
                    <w:t>5</w:t>
                  </w:r>
                  <w:r>
                    <w:rPr>
                      <w:rFonts w:hint="eastAsia" w:ascii="Times New Roman" w:hAnsi="Times New Roman"/>
                      <w:szCs w:val="21"/>
                    </w:rPr>
                    <w:t>%</w:t>
                  </w:r>
                </w:p>
              </w:tc>
            </w:tr>
          </w:tbl>
          <w:p>
            <w:pPr>
              <w:snapToGrid w:val="0"/>
              <w:spacing w:before="156" w:beforeLines="50" w:line="360" w:lineRule="auto"/>
              <w:rPr>
                <w:rFonts w:ascii="Times New Roman" w:hAnsi="Times New Roman"/>
                <w:szCs w:val="21"/>
              </w:rPr>
            </w:pPr>
          </w:p>
        </w:tc>
      </w:tr>
    </w:tbl>
    <w:p>
      <w:pPr>
        <w:spacing w:line="276" w:lineRule="auto"/>
        <w:rPr>
          <w:rFonts w:ascii="Times New Roman" w:hAnsi="Times New Roman"/>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p>
  <w:p>
    <w:pPr>
      <w:pStyle w:val="6"/>
      <w:jc w:val="center"/>
      <w:rPr>
        <w:rFonts w:ascii="Times New Roman" w:hAnsi="Times New Roma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956"/>
    <w:rsid w:val="00001CC2"/>
    <w:rsid w:val="00061156"/>
    <w:rsid w:val="000722FE"/>
    <w:rsid w:val="00073E9B"/>
    <w:rsid w:val="00091749"/>
    <w:rsid w:val="000A7E4E"/>
    <w:rsid w:val="000C0AD8"/>
    <w:rsid w:val="000C336E"/>
    <w:rsid w:val="000D629B"/>
    <w:rsid w:val="000E19B2"/>
    <w:rsid w:val="000F4F26"/>
    <w:rsid w:val="0015193E"/>
    <w:rsid w:val="0015387B"/>
    <w:rsid w:val="00184B89"/>
    <w:rsid w:val="00196EB4"/>
    <w:rsid w:val="001C390D"/>
    <w:rsid w:val="001D4D3A"/>
    <w:rsid w:val="001E78F1"/>
    <w:rsid w:val="00222756"/>
    <w:rsid w:val="00225027"/>
    <w:rsid w:val="002328BC"/>
    <w:rsid w:val="00235104"/>
    <w:rsid w:val="00247369"/>
    <w:rsid w:val="002554B4"/>
    <w:rsid w:val="00294116"/>
    <w:rsid w:val="002C12FA"/>
    <w:rsid w:val="002E6B78"/>
    <w:rsid w:val="002F212D"/>
    <w:rsid w:val="002F53CC"/>
    <w:rsid w:val="002F7B5A"/>
    <w:rsid w:val="00304B98"/>
    <w:rsid w:val="00312662"/>
    <w:rsid w:val="0033384D"/>
    <w:rsid w:val="00373538"/>
    <w:rsid w:val="00375378"/>
    <w:rsid w:val="003B7560"/>
    <w:rsid w:val="003C0C83"/>
    <w:rsid w:val="003D6594"/>
    <w:rsid w:val="003D705E"/>
    <w:rsid w:val="00402CCB"/>
    <w:rsid w:val="00420464"/>
    <w:rsid w:val="00432A99"/>
    <w:rsid w:val="00434993"/>
    <w:rsid w:val="00443587"/>
    <w:rsid w:val="00452BB8"/>
    <w:rsid w:val="00466CEC"/>
    <w:rsid w:val="00472B1C"/>
    <w:rsid w:val="0048608E"/>
    <w:rsid w:val="00486CBB"/>
    <w:rsid w:val="00496515"/>
    <w:rsid w:val="004B3137"/>
    <w:rsid w:val="004D4B47"/>
    <w:rsid w:val="004E550D"/>
    <w:rsid w:val="004F703E"/>
    <w:rsid w:val="0050330F"/>
    <w:rsid w:val="005150C6"/>
    <w:rsid w:val="00543806"/>
    <w:rsid w:val="00573916"/>
    <w:rsid w:val="00584A74"/>
    <w:rsid w:val="005B0F43"/>
    <w:rsid w:val="005B7063"/>
    <w:rsid w:val="005D7B3A"/>
    <w:rsid w:val="005F092C"/>
    <w:rsid w:val="00606121"/>
    <w:rsid w:val="006065AC"/>
    <w:rsid w:val="00640FEA"/>
    <w:rsid w:val="006D0734"/>
    <w:rsid w:val="00717E2B"/>
    <w:rsid w:val="00773B98"/>
    <w:rsid w:val="00780E19"/>
    <w:rsid w:val="007C1F21"/>
    <w:rsid w:val="007C56E8"/>
    <w:rsid w:val="007E7043"/>
    <w:rsid w:val="007F4BD3"/>
    <w:rsid w:val="0084037D"/>
    <w:rsid w:val="00840797"/>
    <w:rsid w:val="0085074E"/>
    <w:rsid w:val="00854E9C"/>
    <w:rsid w:val="008627A6"/>
    <w:rsid w:val="0086403C"/>
    <w:rsid w:val="008708EA"/>
    <w:rsid w:val="008710C9"/>
    <w:rsid w:val="00884F9B"/>
    <w:rsid w:val="0089010C"/>
    <w:rsid w:val="00897D2E"/>
    <w:rsid w:val="008C2FE2"/>
    <w:rsid w:val="008C3848"/>
    <w:rsid w:val="008E2DA4"/>
    <w:rsid w:val="008E67B9"/>
    <w:rsid w:val="00902D85"/>
    <w:rsid w:val="00917B19"/>
    <w:rsid w:val="00934DFF"/>
    <w:rsid w:val="00940EDD"/>
    <w:rsid w:val="0096479D"/>
    <w:rsid w:val="009C6395"/>
    <w:rsid w:val="009C7687"/>
    <w:rsid w:val="009D540D"/>
    <w:rsid w:val="009E3D38"/>
    <w:rsid w:val="00A025C3"/>
    <w:rsid w:val="00A33DD1"/>
    <w:rsid w:val="00A43201"/>
    <w:rsid w:val="00A4683F"/>
    <w:rsid w:val="00A54235"/>
    <w:rsid w:val="00A56EE9"/>
    <w:rsid w:val="00A70032"/>
    <w:rsid w:val="00A76B2E"/>
    <w:rsid w:val="00A85D6A"/>
    <w:rsid w:val="00A903AB"/>
    <w:rsid w:val="00A97224"/>
    <w:rsid w:val="00AB2811"/>
    <w:rsid w:val="00AC6F12"/>
    <w:rsid w:val="00AD1D01"/>
    <w:rsid w:val="00AF258C"/>
    <w:rsid w:val="00B14956"/>
    <w:rsid w:val="00B56333"/>
    <w:rsid w:val="00B935B6"/>
    <w:rsid w:val="00BB1C00"/>
    <w:rsid w:val="00BC0FD5"/>
    <w:rsid w:val="00C05A99"/>
    <w:rsid w:val="00C37D87"/>
    <w:rsid w:val="00C763F7"/>
    <w:rsid w:val="00C83CF6"/>
    <w:rsid w:val="00C91A93"/>
    <w:rsid w:val="00CA0007"/>
    <w:rsid w:val="00CB42BA"/>
    <w:rsid w:val="00CD0B3B"/>
    <w:rsid w:val="00CD7C27"/>
    <w:rsid w:val="00CE2851"/>
    <w:rsid w:val="00D13334"/>
    <w:rsid w:val="00D158AF"/>
    <w:rsid w:val="00D33FE4"/>
    <w:rsid w:val="00D643EE"/>
    <w:rsid w:val="00D65305"/>
    <w:rsid w:val="00D67FA6"/>
    <w:rsid w:val="00D82BFB"/>
    <w:rsid w:val="00DD6315"/>
    <w:rsid w:val="00DD6862"/>
    <w:rsid w:val="00E05A3D"/>
    <w:rsid w:val="00E30C2D"/>
    <w:rsid w:val="00E36095"/>
    <w:rsid w:val="00E36B16"/>
    <w:rsid w:val="00E66D13"/>
    <w:rsid w:val="00E760F3"/>
    <w:rsid w:val="00EA08C9"/>
    <w:rsid w:val="00ED4267"/>
    <w:rsid w:val="00ED7B68"/>
    <w:rsid w:val="00EE6575"/>
    <w:rsid w:val="00EF4C31"/>
    <w:rsid w:val="00F01920"/>
    <w:rsid w:val="00F43AFB"/>
    <w:rsid w:val="00F507D3"/>
    <w:rsid w:val="00F91761"/>
    <w:rsid w:val="00FC5E8C"/>
    <w:rsid w:val="00FE0331"/>
    <w:rsid w:val="00FE151D"/>
    <w:rsid w:val="00FE30EF"/>
    <w:rsid w:val="556067F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13">
    <w:name w:val="Normal Table"/>
    <w:semiHidden/>
    <w:unhideWhenUsed/>
    <w:uiPriority w:val="99"/>
    <w:tblPr>
      <w:tblLayout w:type="fixed"/>
      <w:tblCellMar>
        <w:top w:w="0" w:type="dxa"/>
        <w:left w:w="108" w:type="dxa"/>
        <w:bottom w:w="0" w:type="dxa"/>
        <w:right w:w="108" w:type="dxa"/>
      </w:tblCellMar>
    </w:tblPr>
  </w:style>
  <w:style w:type="paragraph" w:styleId="2">
    <w:name w:val="annotation subject"/>
    <w:basedOn w:val="3"/>
    <w:next w:val="3"/>
    <w:link w:val="23"/>
    <w:semiHidden/>
    <w:unhideWhenUsed/>
    <w:uiPriority w:val="99"/>
    <w:rPr>
      <w:b/>
      <w:bCs/>
    </w:rPr>
  </w:style>
  <w:style w:type="paragraph" w:styleId="3">
    <w:name w:val="annotation text"/>
    <w:basedOn w:val="1"/>
    <w:link w:val="22"/>
    <w:semiHidden/>
    <w:unhideWhenUsed/>
    <w:uiPriority w:val="99"/>
    <w:pPr>
      <w:jc w:val="left"/>
    </w:pPr>
  </w:style>
  <w:style w:type="paragraph" w:styleId="4">
    <w:name w:val="endnote text"/>
    <w:basedOn w:val="1"/>
    <w:link w:val="15"/>
    <w:semiHidden/>
    <w:unhideWhenUsed/>
    <w:uiPriority w:val="99"/>
    <w:pPr>
      <w:snapToGrid w:val="0"/>
      <w:jc w:val="left"/>
    </w:pPr>
  </w:style>
  <w:style w:type="paragraph" w:styleId="5">
    <w:name w:val="Balloon Text"/>
    <w:basedOn w:val="1"/>
    <w:link w:val="21"/>
    <w:semiHidden/>
    <w:unhideWhenUsed/>
    <w:uiPriority w:val="99"/>
    <w:rPr>
      <w:sz w:val="18"/>
      <w:szCs w:val="18"/>
    </w:rPr>
  </w:style>
  <w:style w:type="paragraph" w:styleId="6">
    <w:name w:val="footer"/>
    <w:basedOn w:val="1"/>
    <w:link w:val="17"/>
    <w:unhideWhenUsed/>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5"/>
    <w:semiHidden/>
    <w:unhideWhenUsed/>
    <w:uiPriority w:val="99"/>
    <w:pPr>
      <w:snapToGrid w:val="0"/>
      <w:jc w:val="left"/>
    </w:pPr>
    <w:rPr>
      <w:sz w:val="18"/>
      <w:szCs w:val="18"/>
    </w:rPr>
  </w:style>
  <w:style w:type="character" w:styleId="10">
    <w:name w:val="endnote reference"/>
    <w:semiHidden/>
    <w:unhideWhenUsed/>
    <w:qFormat/>
    <w:uiPriority w:val="99"/>
    <w:rPr>
      <w:vertAlign w:val="superscript"/>
    </w:rPr>
  </w:style>
  <w:style w:type="character" w:styleId="11">
    <w:name w:val="annotation reference"/>
    <w:semiHidden/>
    <w:unhideWhenUsed/>
    <w:uiPriority w:val="99"/>
    <w:rPr>
      <w:sz w:val="21"/>
      <w:szCs w:val="21"/>
    </w:rPr>
  </w:style>
  <w:style w:type="character" w:styleId="12">
    <w:name w:val="footnote reference"/>
    <w:basedOn w:val="9"/>
    <w:semiHidden/>
    <w:unhideWhenUsed/>
    <w:uiPriority w:val="99"/>
    <w:rPr>
      <w:vertAlign w:val="superscript"/>
    </w:rPr>
  </w:style>
  <w:style w:type="table" w:styleId="14">
    <w:name w:val="Table Grid"/>
    <w:basedOn w:val="1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5">
    <w:name w:val="尾注文本 字符"/>
    <w:basedOn w:val="9"/>
    <w:link w:val="4"/>
    <w:semiHidden/>
    <w:qFormat/>
    <w:uiPriority w:val="99"/>
  </w:style>
  <w:style w:type="character" w:customStyle="1" w:styleId="16">
    <w:name w:val="页眉 字符"/>
    <w:link w:val="7"/>
    <w:qFormat/>
    <w:uiPriority w:val="99"/>
    <w:rPr>
      <w:sz w:val="18"/>
      <w:szCs w:val="18"/>
    </w:rPr>
  </w:style>
  <w:style w:type="character" w:customStyle="1" w:styleId="17">
    <w:name w:val="页脚 字符"/>
    <w:link w:val="6"/>
    <w:uiPriority w:val="99"/>
    <w:rPr>
      <w:sz w:val="18"/>
      <w:szCs w:val="18"/>
    </w:rPr>
  </w:style>
  <w:style w:type="character" w:customStyle="1" w:styleId="18">
    <w:name w:val="zx-detail-expand-text"/>
    <w:uiPriority w:val="0"/>
  </w:style>
  <w:style w:type="paragraph" w:customStyle="1" w:styleId="19">
    <w:name w:val="彩色列表 - 着色 11"/>
    <w:basedOn w:val="1"/>
    <w:qFormat/>
    <w:uiPriority w:val="34"/>
    <w:pPr>
      <w:ind w:firstLine="420" w:firstLineChars="200"/>
    </w:pPr>
  </w:style>
  <w:style w:type="character" w:customStyle="1" w:styleId="20">
    <w:name w:val="zzmpTrailerItem"/>
    <w:uiPriority w:val="0"/>
    <w:rPr>
      <w:rFonts w:ascii="Calibri" w:hAnsi="Calibri" w:cs="Calibri"/>
      <w:color w:val="auto"/>
      <w:spacing w:val="0"/>
      <w:position w:val="0"/>
      <w:sz w:val="16"/>
      <w:szCs w:val="16"/>
      <w:u w:val="none"/>
      <w:vertAlign w:val="baseline"/>
    </w:rPr>
  </w:style>
  <w:style w:type="character" w:customStyle="1" w:styleId="21">
    <w:name w:val="批注框文本 字符"/>
    <w:link w:val="5"/>
    <w:semiHidden/>
    <w:uiPriority w:val="99"/>
    <w:rPr>
      <w:kern w:val="2"/>
      <w:sz w:val="18"/>
      <w:szCs w:val="18"/>
    </w:rPr>
  </w:style>
  <w:style w:type="character" w:customStyle="1" w:styleId="22">
    <w:name w:val="批注文字 字符"/>
    <w:link w:val="3"/>
    <w:semiHidden/>
    <w:uiPriority w:val="99"/>
    <w:rPr>
      <w:kern w:val="2"/>
      <w:sz w:val="21"/>
      <w:szCs w:val="22"/>
    </w:rPr>
  </w:style>
  <w:style w:type="character" w:customStyle="1" w:styleId="23">
    <w:name w:val="批注主题 字符"/>
    <w:link w:val="2"/>
    <w:semiHidden/>
    <w:uiPriority w:val="99"/>
    <w:rPr>
      <w:b/>
      <w:bCs/>
      <w:kern w:val="2"/>
      <w:sz w:val="21"/>
      <w:szCs w:val="22"/>
    </w:rPr>
  </w:style>
  <w:style w:type="paragraph" w:customStyle="1" w:styleId="24">
    <w:name w:val="彩色列表 - 着色 111"/>
    <w:basedOn w:val="1"/>
    <w:qFormat/>
    <w:uiPriority w:val="34"/>
    <w:pPr>
      <w:ind w:firstLine="420" w:firstLineChars="200"/>
    </w:pPr>
  </w:style>
  <w:style w:type="character" w:customStyle="1" w:styleId="25">
    <w:name w:val="脚注文本 字符"/>
    <w:basedOn w:val="9"/>
    <w:link w:val="8"/>
    <w:semiHidden/>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4500EE-5020-47FD-9F6A-16BAE328C3B7}">
  <ds:schemaRefs/>
</ds:datastoreItem>
</file>

<file path=docProps/app.xml><?xml version="1.0" encoding="utf-8"?>
<Properties xmlns="http://schemas.openxmlformats.org/officeDocument/2006/extended-properties" xmlns:vt="http://schemas.openxmlformats.org/officeDocument/2006/docPropsVTypes">
  <Template>Normal</Template>
  <Pages>2</Pages>
  <Words>136</Words>
  <Characters>776</Characters>
  <Lines>6</Lines>
  <Paragraphs>1</Paragraphs>
  <TotalTime>4</TotalTime>
  <ScaleCrop>false</ScaleCrop>
  <LinksUpToDate>false</LinksUpToDate>
  <CharactersWithSpaces>911</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2020-12-22T09:55:00Z</dcterms:created>
  <dc:creator>user</dc:creator>
  <cp:lastModifiedBy>SAMR</cp:lastModifiedBy>
  <cp:lastPrinted>2411-12-31T16:00:00Z</cp:lastPrinted>
  <dcterms:modified xsi:type="dcterms:W3CDTF">2021-01-05T01:29:05Z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