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440" w:lineRule="exact"/>
        <w:jc w:val="center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经营者集中简易案件公示表</w:t>
      </w:r>
    </w:p>
    <w:p>
      <w:pPr>
        <w:spacing w:line="440" w:lineRule="exact"/>
        <w:rPr>
          <w:rFonts w:ascii="Times New Roman" w:hAnsi="Times New Roman" w:cs="Times New Roman"/>
          <w:sz w:val="28"/>
          <w:szCs w:val="28"/>
        </w:rPr>
      </w:pPr>
    </w:p>
    <w:p>
      <w:pPr>
        <w:spacing w:line="440" w:lineRule="exact"/>
        <w:ind w:firstLine="845" w:firstLineChars="30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</w:t>
      </w:r>
    </w:p>
    <w:tbl>
      <w:tblPr>
        <w:tblStyle w:val="9"/>
        <w:tblW w:w="875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1796"/>
        <w:gridCol w:w="515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shd w:val="clear" w:color="auto" w:fill="D8D8D8" w:themeFill="background1" w:themeFillShade="D9"/>
          </w:tcPr>
          <w:p>
            <w:pPr>
              <w:spacing w:line="500" w:lineRule="exac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案件名称</w:t>
            </w: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hint="eastAsia" w:ascii="Times New Roman" w:hAnsi="Times New Roman" w:cs="Times New Roman"/>
                <w:sz w:val="28"/>
                <w:szCs w:val="28"/>
              </w:rPr>
              <w:t xml:space="preserve">JNC株式会社收购SK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m</w:t>
            </w:r>
            <w:r>
              <w:rPr>
                <w:rFonts w:hint="eastAsia" w:ascii="Times New Roman" w:hAnsi="Times New Roman" w:cs="Times New Roman"/>
                <w:sz w:val="28"/>
                <w:szCs w:val="28"/>
              </w:rPr>
              <w:t>aterials JNC Co., Ltd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>
              <w:rPr>
                <w:rFonts w:hint="eastAsia" w:ascii="Times New Roman" w:hAnsi="Times New Roman" w:cs="Times New Roman"/>
                <w:sz w:val="28"/>
                <w:szCs w:val="28"/>
              </w:rPr>
              <w:t>股权案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3" w:hRule="atLeast"/>
        </w:trPr>
        <w:tc>
          <w:tcPr>
            <w:tcW w:w="1809" w:type="dxa"/>
            <w:shd w:val="clear" w:color="auto" w:fill="D8D8D8" w:themeFill="background1" w:themeFillShade="D9"/>
          </w:tcPr>
          <w:p>
            <w:pPr>
              <w:spacing w:line="500" w:lineRule="exac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交易概况（限200字内）</w:t>
            </w: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ind w:firstLine="560" w:firstLineChars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hint="eastAsia" w:ascii="Times New Roman" w:hAnsi="Times New Roman" w:cs="Times New Roman"/>
                <w:sz w:val="28"/>
                <w:szCs w:val="28"/>
                <w:lang w:val="en-US" w:eastAsia="zh-CN"/>
              </w:rPr>
              <w:t>首先，</w:t>
            </w:r>
            <w:r>
              <w:rPr>
                <w:rFonts w:hint="eastAsia" w:ascii="Times New Roman" w:hAnsi="Times New Roman" w:cs="Times New Roman"/>
                <w:sz w:val="28"/>
                <w:szCs w:val="28"/>
              </w:rPr>
              <w:t xml:space="preserve">SK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m</w:t>
            </w:r>
            <w:r>
              <w:rPr>
                <w:rFonts w:hint="eastAsia" w:ascii="Times New Roman" w:hAnsi="Times New Roman" w:cs="Times New Roman"/>
                <w:sz w:val="28"/>
                <w:szCs w:val="28"/>
              </w:rPr>
              <w:t xml:space="preserve">aterials </w:t>
            </w:r>
            <w:r>
              <w:rPr>
                <w:rFonts w:hint="eastAsia" w:ascii="Times New Roman" w:hAnsi="Times New Roman" w:cs="Times New Roman"/>
                <w:sz w:val="28"/>
                <w:szCs w:val="28"/>
                <w:lang w:eastAsia="ja-JP"/>
              </w:rPr>
              <w:t>Co., Ltd.</w:t>
            </w:r>
            <w:r>
              <w:rPr>
                <w:rFonts w:hint="eastAsia" w:ascii="Times New Roman" w:hAnsi="Times New Roman" w:cs="Times New Roman"/>
                <w:sz w:val="28"/>
                <w:szCs w:val="28"/>
              </w:rPr>
              <w:t>（“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SKMR</w:t>
            </w:r>
            <w:r>
              <w:rPr>
                <w:rFonts w:hint="eastAsia" w:ascii="Times New Roman" w:hAnsi="Times New Roman" w:cs="Times New Roman"/>
                <w:sz w:val="28"/>
                <w:szCs w:val="28"/>
              </w:rPr>
              <w:t>”）新设</w:t>
            </w:r>
            <w:r>
              <w:rPr>
                <w:rFonts w:hint="eastAsia" w:ascii="Times New Roman" w:hAnsi="Times New Roman" w:cs="Times New Roman"/>
                <w:sz w:val="28"/>
                <w:szCs w:val="28"/>
                <w:lang w:val="en-US" w:eastAsia="zh-CN"/>
              </w:rPr>
              <w:t>全资</w:t>
            </w:r>
            <w:r>
              <w:rPr>
                <w:rFonts w:hint="eastAsia" w:ascii="Times New Roman" w:hAnsi="Times New Roman" w:cs="Times New Roman"/>
                <w:sz w:val="28"/>
                <w:szCs w:val="28"/>
              </w:rPr>
              <w:t>子公司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SK materials JNC Co</w:t>
            </w:r>
            <w:r>
              <w:rPr>
                <w:rFonts w:hint="eastAsia" w:ascii="Times New Roman" w:hAnsi="Times New Roman" w:cs="Times New Roman"/>
                <w:sz w:val="28"/>
                <w:szCs w:val="28"/>
              </w:rPr>
              <w:t>，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Ltd</w:t>
            </w:r>
            <w:r>
              <w:rPr>
                <w:rFonts w:hint="eastAsia" w:ascii="Times New Roman" w:hAnsi="Times New Roman" w:cs="Times New Roman"/>
                <w:sz w:val="28"/>
                <w:szCs w:val="28"/>
                <w:lang w:val="en-US" w:eastAsia="zh-CN"/>
              </w:rPr>
              <w:t>.</w:t>
            </w:r>
            <w:r>
              <w:rPr>
                <w:rFonts w:hint="eastAsia" w:ascii="Times New Roman" w:hAnsi="Times New Roman" w:cs="Times New Roman"/>
                <w:sz w:val="28"/>
                <w:szCs w:val="28"/>
                <w:lang w:eastAsia="zh-CN"/>
              </w:rPr>
              <w:t>（“</w:t>
            </w:r>
            <w:r>
              <w:rPr>
                <w:rFonts w:hint="eastAsia" w:ascii="Times New Roman" w:hAnsi="Times New Roman" w:cs="Times New Roman"/>
                <w:sz w:val="28"/>
                <w:szCs w:val="28"/>
                <w:lang w:val="en-US" w:eastAsia="zh-CN"/>
              </w:rPr>
              <w:t>SK New Co</w:t>
            </w:r>
            <w:r>
              <w:rPr>
                <w:rFonts w:hint="eastAsia" w:ascii="Times New Roman" w:hAnsi="Times New Roman" w:cs="Times New Roman"/>
                <w:sz w:val="28"/>
                <w:szCs w:val="28"/>
                <w:lang w:eastAsia="zh-CN"/>
              </w:rPr>
              <w:t>”）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>
            <w:pPr>
              <w:spacing w:line="500" w:lineRule="exact"/>
              <w:ind w:firstLine="560" w:firstLineChars="200"/>
              <w:rPr>
                <w:rFonts w:hint="eastAsia" w:ascii="Times New Roman" w:hAnsi="Times New Roman" w:cs="Times New Roman"/>
                <w:sz w:val="28"/>
                <w:szCs w:val="28"/>
              </w:rPr>
            </w:pPr>
            <w:r>
              <w:rPr>
                <w:rFonts w:hint="eastAsia" w:ascii="Times New Roman" w:hAnsi="Times New Roman" w:cs="Times New Roman"/>
                <w:sz w:val="28"/>
                <w:szCs w:val="28"/>
                <w:lang w:val="en-US" w:eastAsia="zh-CN"/>
              </w:rPr>
              <w:t>其次，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JNC</w:t>
            </w:r>
            <w:r>
              <w:rPr>
                <w:rFonts w:hint="eastAsia" w:ascii="Times New Roman" w:hAnsi="Times New Roman" w:cs="Times New Roman"/>
                <w:sz w:val="28"/>
                <w:szCs w:val="28"/>
              </w:rPr>
              <w:t>株式会社</w:t>
            </w:r>
            <w:r>
              <w:rPr>
                <w:rFonts w:hint="eastAsia" w:ascii="Times New Roman" w:hAnsi="Times New Roman" w:cs="Times New Roman"/>
                <w:sz w:val="28"/>
                <w:szCs w:val="28"/>
                <w:lang w:eastAsia="zh-CN"/>
              </w:rPr>
              <w:t>（“</w:t>
            </w:r>
            <w:r>
              <w:rPr>
                <w:rFonts w:hint="eastAsia" w:ascii="Times New Roman" w:hAnsi="Times New Roman" w:cs="Times New Roman"/>
                <w:sz w:val="28"/>
                <w:szCs w:val="28"/>
                <w:lang w:val="en-US" w:eastAsia="zh-CN"/>
              </w:rPr>
              <w:t>JNC</w:t>
            </w:r>
            <w:r>
              <w:rPr>
                <w:rFonts w:hint="eastAsia" w:ascii="Times New Roman" w:hAnsi="Times New Roman" w:cs="Times New Roman"/>
                <w:sz w:val="28"/>
                <w:szCs w:val="28"/>
                <w:lang w:eastAsia="zh-CN"/>
              </w:rPr>
              <w:t>”）</w:t>
            </w:r>
            <w:r>
              <w:rPr>
                <w:rFonts w:hint="eastAsia" w:ascii="Times New Roman" w:hAnsi="Times New Roman" w:cs="Times New Roman"/>
                <w:sz w:val="28"/>
                <w:szCs w:val="28"/>
                <w:lang w:val="en-US" w:eastAsia="zh-CN"/>
              </w:rPr>
              <w:t>向SK New Co出售其持有的</w:t>
            </w:r>
            <w:r>
              <w:rPr>
                <w:rFonts w:hint="eastAsia" w:ascii="Times New Roman" w:hAnsi="Times New Roman" w:cs="Times New Roman"/>
                <w:sz w:val="28"/>
                <w:szCs w:val="28"/>
              </w:rPr>
              <w:t>有机EL材料相关的专利、商权</w:t>
            </w:r>
            <w:r>
              <w:rPr>
                <w:rFonts w:hint="eastAsia" w:ascii="Times New Roman" w:hAnsi="Times New Roman" w:cs="Times New Roman"/>
                <w:sz w:val="28"/>
                <w:szCs w:val="28"/>
                <w:lang w:val="en-US" w:eastAsia="zh-CN"/>
              </w:rPr>
              <w:t>及其</w:t>
            </w:r>
            <w:r>
              <w:rPr>
                <w:rFonts w:hint="eastAsia" w:ascii="Times New Roman" w:hAnsi="Times New Roman" w:cs="Times New Roman"/>
                <w:sz w:val="28"/>
                <w:szCs w:val="28"/>
              </w:rPr>
              <w:t>全资子公司SK JNC Japan株式会社（</w:t>
            </w:r>
            <w:r>
              <w:rPr>
                <w:rFonts w:hint="eastAsia" w:ascii="Times New Roman" w:hAnsi="Times New Roman" w:cs="Times New Roman"/>
                <w:sz w:val="28"/>
                <w:szCs w:val="28"/>
                <w:lang w:val="en-US" w:eastAsia="zh-CN"/>
              </w:rPr>
              <w:t>从事</w:t>
            </w:r>
            <w:r>
              <w:rPr>
                <w:rFonts w:hint="eastAsia" w:ascii="Times New Roman" w:hAnsi="Times New Roman" w:cs="Times New Roman"/>
                <w:sz w:val="28"/>
                <w:szCs w:val="28"/>
              </w:rPr>
              <w:t>有机EL材料研发）100%股权</w:t>
            </w:r>
            <w:r>
              <w:rPr>
                <w:rFonts w:hint="eastAsia" w:ascii="Times New Roman" w:hAnsi="Times New Roman" w:cs="Times New Roman"/>
                <w:sz w:val="28"/>
                <w:szCs w:val="28"/>
                <w:lang w:eastAsia="zh-CN"/>
              </w:rPr>
              <w:t>。</w:t>
            </w:r>
            <w:r>
              <w:rPr>
                <w:rFonts w:hint="eastAsia" w:ascii="Times New Roman" w:hAnsi="Times New Roman" w:cs="Times New Roman"/>
                <w:sz w:val="28"/>
                <w:szCs w:val="28"/>
                <w:lang w:val="en-US" w:eastAsia="zh-CN"/>
              </w:rPr>
              <w:t>同日，JNC以上述交易取得的价款认购SK New Co</w:t>
            </w:r>
            <w:r>
              <w:rPr>
                <w:rFonts w:hint="eastAsia" w:ascii="Times New Roman" w:hAnsi="Times New Roman" w:cs="Times New Roman"/>
                <w:sz w:val="28"/>
                <w:szCs w:val="28"/>
              </w:rPr>
              <w:t>向JNC定向增发的49%股权。</w:t>
            </w:r>
            <w:bookmarkStart w:id="0" w:name="_GoBack"/>
            <w:bookmarkEnd w:id="0"/>
          </w:p>
          <w:p>
            <w:pPr>
              <w:spacing w:line="500" w:lineRule="exact"/>
              <w:ind w:firstLine="560" w:firstLineChars="20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hint="eastAsia" w:ascii="Times New Roman" w:hAnsi="Times New Roman" w:cs="Times New Roman"/>
                <w:sz w:val="28"/>
                <w:szCs w:val="28"/>
              </w:rPr>
              <w:t>增发完成后，</w:t>
            </w:r>
            <w:r>
              <w:rPr>
                <w:rFonts w:hint="eastAsia" w:ascii="Times New Roman" w:hAnsi="Times New Roman" w:cs="Times New Roman"/>
                <w:sz w:val="28"/>
                <w:szCs w:val="28"/>
                <w:lang w:val="en-US" w:eastAsia="zh-CN"/>
              </w:rPr>
              <w:t>SK New Co</w:t>
            </w:r>
            <w:r>
              <w:rPr>
                <w:rFonts w:hint="eastAsia" w:ascii="Times New Roman" w:hAnsi="Times New Roman" w:cs="Times New Roman"/>
                <w:sz w:val="28"/>
                <w:szCs w:val="28"/>
              </w:rPr>
              <w:t>变更为合营企业，SKMR与JNC的持股比例分别为51%与49%。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1809" w:type="dxa"/>
            <w:vMerge w:val="restart"/>
            <w:shd w:val="clear" w:color="auto" w:fill="D8D8D8" w:themeFill="background1" w:themeFillShade="D9"/>
          </w:tcPr>
          <w:p>
            <w:pPr>
              <w:spacing w:line="500" w:lineRule="exac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参与集中的经营者简介</w:t>
            </w:r>
          </w:p>
        </w:tc>
        <w:tc>
          <w:tcPr>
            <w:tcW w:w="1796" w:type="dxa"/>
          </w:tcPr>
          <w:p>
            <w:pPr>
              <w:spacing w:line="500" w:lineRule="exac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1、</w:t>
            </w:r>
            <w:r>
              <w:rPr>
                <w:rFonts w:hint="eastAsia" w:ascii="Times New Roman" w:hAnsi="Times New Roman" w:cs="Times New Roman"/>
                <w:sz w:val="28"/>
                <w:szCs w:val="28"/>
              </w:rPr>
              <w:t>JNC</w:t>
            </w:r>
          </w:p>
        </w:tc>
        <w:tc>
          <w:tcPr>
            <w:tcW w:w="5153" w:type="dxa"/>
          </w:tcPr>
          <w:p>
            <w:pPr>
              <w:spacing w:line="500" w:lineRule="exac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hint="eastAsia" w:ascii="Times New Roman" w:hAnsi="Times New Roman" w:cs="Times New Roman"/>
                <w:sz w:val="28"/>
                <w:szCs w:val="28"/>
              </w:rPr>
              <w:t>2011年设立于日本东京，主营业务包括①功能材料（液晶业务及信息材料业务）、②加工产品（纤维业务、肥料业务、过滤器/树脂加工业务）、③化学品（化学品业务及树脂业务）、④商贸（合成树脂、合成纤维、化学品等本集团产品为主的销售）、⑤发电、⑥其他（工程业务）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809" w:type="dxa"/>
            <w:vMerge w:val="continue"/>
            <w:shd w:val="clear" w:color="auto" w:fill="D8D8D8" w:themeFill="background1" w:themeFillShade="D9"/>
          </w:tcPr>
          <w:p>
            <w:pPr>
              <w:spacing w:line="500" w:lineRule="exac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96" w:type="dxa"/>
          </w:tcPr>
          <w:p>
            <w:pPr>
              <w:spacing w:line="500" w:lineRule="exac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2、</w:t>
            </w:r>
            <w:r>
              <w:rPr>
                <w:rFonts w:hint="eastAsia" w:ascii="Times New Roman" w:hAnsi="Times New Roman" w:cs="Times New Roman"/>
                <w:sz w:val="28"/>
                <w:szCs w:val="28"/>
              </w:rPr>
              <w:t>SKMR</w:t>
            </w:r>
          </w:p>
        </w:tc>
        <w:tc>
          <w:tcPr>
            <w:tcW w:w="5153" w:type="dxa"/>
          </w:tcPr>
          <w:p>
            <w:pPr>
              <w:spacing w:line="500" w:lineRule="exac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hint="eastAsia" w:ascii="Times New Roman" w:hAnsi="Times New Roman" w:cs="Times New Roman"/>
                <w:sz w:val="28"/>
                <w:szCs w:val="28"/>
              </w:rPr>
              <w:t>1982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年设立于</w:t>
            </w:r>
            <w:r>
              <w:rPr>
                <w:rFonts w:hint="eastAsia" w:ascii="Times New Roman" w:hAnsi="Times New Roman" w:cs="Times New Roman"/>
                <w:sz w:val="28"/>
                <w:szCs w:val="28"/>
              </w:rPr>
              <w:t>韩国庆尚北道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，主营业务包括</w:t>
            </w:r>
            <w:r>
              <w:rPr>
                <w:rFonts w:hint="eastAsia" w:ascii="Times New Roman" w:hAnsi="Times New Roman" w:cs="Times New Roman"/>
                <w:sz w:val="28"/>
                <w:szCs w:val="28"/>
              </w:rPr>
              <w:t>半导体、液晶面板、太阳能电池制造过程中使用的特殊气体（NF3, WF6, SiH4 等）的制造及销售。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809" w:type="dxa"/>
            <w:vMerge w:val="restart"/>
            <w:shd w:val="clear" w:color="auto" w:fill="D8D8D8" w:themeFill="background1" w:themeFillShade="D9"/>
          </w:tcPr>
          <w:p>
            <w:pPr>
              <w:spacing w:line="500" w:lineRule="exac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简易案件理由（可多选）</w:t>
            </w: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sym w:font="Wingdings" w:char="00FE"/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1、在同一相关市场，所有参与集中的经营者所占市场份额之和小于15%。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809" w:type="dxa"/>
            <w:vMerge w:val="continue"/>
            <w:shd w:val="clear" w:color="auto" w:fill="D8D8D8" w:themeFill="background1" w:themeFillShade="D9"/>
          </w:tcPr>
          <w:p>
            <w:pPr>
              <w:spacing w:line="500" w:lineRule="exac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hint="eastAsia" w:ascii="黑体" w:eastAsia="黑体"/>
                <w:sz w:val="28"/>
                <w:szCs w:val="21"/>
              </w:rPr>
              <w:sym w:font="Wingdings" w:char="F0A8"/>
            </w:r>
            <w:r>
              <w:rPr>
                <w:rFonts w:hint="eastAsia" w:ascii="黑体" w:eastAsia="黑体"/>
                <w:sz w:val="28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2、存在上下游关系的参与集中的经营者，在上下游市场所占的市场份额均小于25%。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09" w:type="dxa"/>
            <w:vMerge w:val="continue"/>
            <w:shd w:val="clear" w:color="auto" w:fill="D8D8D8" w:themeFill="background1" w:themeFillShade="D9"/>
          </w:tcPr>
          <w:p>
            <w:pPr>
              <w:spacing w:line="500" w:lineRule="exac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hint="eastAsia" w:ascii="黑体" w:eastAsia="黑体"/>
                <w:sz w:val="28"/>
                <w:szCs w:val="21"/>
              </w:rPr>
              <w:sym w:font="Wingdings" w:char="00A8"/>
            </w:r>
            <w:r>
              <w:rPr>
                <w:rFonts w:hint="eastAsia" w:ascii="黑体" w:eastAsia="黑体"/>
                <w:sz w:val="28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3、不在同一相关市场、也不存在上下游关系的参与集中的经营者，在与交易有关的每个市场所占的份额均小于25%。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1809" w:type="dxa"/>
            <w:vMerge w:val="continue"/>
            <w:shd w:val="clear" w:color="auto" w:fill="D8D8D8" w:themeFill="background1" w:themeFillShade="D9"/>
          </w:tcPr>
          <w:p>
            <w:pPr>
              <w:spacing w:line="500" w:lineRule="exac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hint="eastAsia" w:ascii="黑体" w:eastAsia="黑体"/>
                <w:sz w:val="28"/>
                <w:szCs w:val="21"/>
              </w:rPr>
              <w:sym w:font="Wingdings" w:char="F0A8"/>
            </w:r>
            <w:r>
              <w:rPr>
                <w:rFonts w:hint="eastAsia" w:ascii="黑体" w:eastAsia="黑体"/>
                <w:sz w:val="28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4、参与集中的经营者在中国境外设立合营企业，合营企业不在中国境内从事经济活动。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809" w:type="dxa"/>
            <w:vMerge w:val="continue"/>
            <w:shd w:val="clear" w:color="auto" w:fill="D8D8D8" w:themeFill="background1" w:themeFillShade="D9"/>
          </w:tcPr>
          <w:p>
            <w:pPr>
              <w:spacing w:line="500" w:lineRule="exac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hint="eastAsia" w:ascii="黑体" w:eastAsia="黑体"/>
                <w:sz w:val="28"/>
                <w:szCs w:val="21"/>
              </w:rPr>
              <w:sym w:font="Wingdings" w:char="F0A8"/>
            </w:r>
            <w:r>
              <w:rPr>
                <w:rFonts w:hint="eastAsia"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5、参与集中的经营者收购境外企业股权或资产的，该境外企业不在中国境内从事经济活动。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809" w:type="dxa"/>
            <w:vMerge w:val="continue"/>
            <w:shd w:val="clear" w:color="auto" w:fill="D8D8D8" w:themeFill="background1" w:themeFillShade="D9"/>
          </w:tcPr>
          <w:p>
            <w:pPr>
              <w:spacing w:line="500" w:lineRule="exac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hint="eastAsia" w:ascii="黑体" w:eastAsia="黑体"/>
                <w:sz w:val="28"/>
                <w:szCs w:val="21"/>
              </w:rPr>
              <w:sym w:font="Wingdings" w:char="F0A8"/>
            </w:r>
            <w:r>
              <w:rPr>
                <w:rFonts w:hint="eastAsia" w:ascii="黑体" w:eastAsia="黑体"/>
                <w:sz w:val="28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6、由两个以上的经营者共同控制的合营企业，通过集中被其中一个或一个以上经营者控制。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shd w:val="clear" w:color="auto" w:fill="D8D8D8" w:themeFill="background1" w:themeFillShade="D9"/>
          </w:tcPr>
          <w:p>
            <w:pPr>
              <w:spacing w:line="500" w:lineRule="exac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备注</w:t>
            </w: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1、</w:t>
            </w:r>
            <w:r>
              <w:rPr>
                <w:rFonts w:ascii="宋体" w:hAnsi="宋体"/>
                <w:sz w:val="28"/>
                <w:szCs w:val="28"/>
              </w:rPr>
              <w:t>相关产品市场</w:t>
            </w:r>
            <w:r>
              <w:rPr>
                <w:rFonts w:hint="eastAsia" w:ascii="宋体" w:hAnsi="宋体"/>
                <w:sz w:val="28"/>
                <w:szCs w:val="28"/>
              </w:rPr>
              <w:t>：</w:t>
            </w:r>
            <w:r>
              <w:rPr>
                <w:rFonts w:hint="eastAsia" w:ascii="Times New Roman" w:hAnsi="Times New Roman" w:cs="Times New Roman"/>
                <w:sz w:val="28"/>
                <w:szCs w:val="28"/>
              </w:rPr>
              <w:t>有机EL材料（电子传输材料）</w:t>
            </w:r>
            <w:r>
              <w:rPr>
                <w:rFonts w:hint="eastAsia" w:ascii="宋体" w:hAnsi="宋体"/>
                <w:sz w:val="28"/>
                <w:szCs w:val="28"/>
              </w:rPr>
              <w:t>市场</w:t>
            </w:r>
          </w:p>
          <w:p>
            <w:pPr>
              <w:spacing w:line="500" w:lineRule="exact"/>
              <w:ind w:firstLine="420" w:firstLineChars="150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/>
                <w:sz w:val="28"/>
                <w:szCs w:val="28"/>
              </w:rPr>
              <w:t>相关地域市场：</w:t>
            </w:r>
            <w:r>
              <w:rPr>
                <w:rFonts w:hint="eastAsia" w:ascii="宋体" w:hAnsi="宋体"/>
                <w:sz w:val="28"/>
                <w:szCs w:val="28"/>
              </w:rPr>
              <w:t>全球市场</w:t>
            </w:r>
          </w:p>
          <w:p>
            <w:pPr>
              <w:spacing w:line="500" w:lineRule="exact"/>
              <w:ind w:firstLine="420" w:firstLineChars="150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/>
                <w:sz w:val="28"/>
                <w:szCs w:val="28"/>
              </w:rPr>
              <w:t>市场份额：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JNC  [0~5]%</w:t>
            </w:r>
          </w:p>
          <w:p>
            <w:pPr>
              <w:pStyle w:val="16"/>
              <w:spacing w:line="500" w:lineRule="exact"/>
              <w:ind w:left="839" w:firstLine="980" w:firstLineChars="35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hint="eastAsia" w:ascii="Times New Roman" w:hAnsi="Times New Roman" w:cs="Times New Roman"/>
                <w:sz w:val="28"/>
                <w:szCs w:val="28"/>
              </w:rPr>
              <w:t>SKMR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[</w:t>
            </w:r>
            <w:r>
              <w:rPr>
                <w:rFonts w:hint="eastAsia" w:ascii="MS Mincho" w:hAnsi="MS Mincho" w:eastAsia="宋体" w:cs="Times New Roman"/>
                <w:sz w:val="28"/>
                <w:szCs w:val="28"/>
              </w:rPr>
              <w:t>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]%</w:t>
            </w:r>
          </w:p>
          <w:p>
            <w:pPr>
              <w:spacing w:line="500" w:lineRule="exact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/>
                <w:sz w:val="28"/>
                <w:szCs w:val="28"/>
              </w:rPr>
              <w:t>2</w:t>
            </w:r>
            <w:r>
              <w:rPr>
                <w:rFonts w:hint="eastAsia" w:ascii="宋体" w:hAnsi="宋体"/>
                <w:sz w:val="28"/>
                <w:szCs w:val="28"/>
              </w:rPr>
              <w:t>、相关产品市场：有机EL材料（</w:t>
            </w:r>
            <w:r>
              <w:rPr>
                <w:rFonts w:hint="eastAsia" w:ascii="Times New Roman" w:hAnsi="Times New Roman" w:cs="Times New Roman"/>
                <w:sz w:val="28"/>
                <w:szCs w:val="28"/>
              </w:rPr>
              <w:t>蓝色掺杂材料</w:t>
            </w:r>
            <w:r>
              <w:rPr>
                <w:rFonts w:hint="eastAsia" w:ascii="宋体" w:hAnsi="宋体"/>
                <w:sz w:val="28"/>
                <w:szCs w:val="28"/>
              </w:rPr>
              <w:t>）市场</w:t>
            </w:r>
          </w:p>
          <w:p>
            <w:pPr>
              <w:spacing w:line="500" w:lineRule="exact"/>
              <w:ind w:firstLine="420" w:firstLineChars="150"/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相关地域市场：全球市场</w:t>
            </w:r>
          </w:p>
          <w:p>
            <w:pPr>
              <w:spacing w:line="500" w:lineRule="exact"/>
              <w:ind w:firstLine="420" w:firstLineChars="150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/>
                <w:sz w:val="28"/>
                <w:szCs w:val="28"/>
              </w:rPr>
              <w:t>市场份额：</w:t>
            </w:r>
            <w:r>
              <w:rPr>
                <w:rFonts w:hint="eastAsia" w:ascii="Times New Roman" w:hAnsi="Times New Roman" w:cs="Times New Roman"/>
                <w:sz w:val="28"/>
                <w:szCs w:val="28"/>
              </w:rPr>
              <w:t>JNC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[10-15]%</w:t>
            </w:r>
          </w:p>
          <w:p>
            <w:pPr>
              <w:pStyle w:val="16"/>
              <w:spacing w:line="500" w:lineRule="exact"/>
              <w:ind w:left="839" w:firstLine="980" w:firstLineChars="35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hint="eastAsia" w:ascii="Times New Roman" w:hAnsi="Times New Roman" w:cs="Times New Roman"/>
                <w:sz w:val="28"/>
                <w:szCs w:val="28"/>
              </w:rPr>
              <w:t>SKMR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[</w:t>
            </w:r>
            <w:r>
              <w:rPr>
                <w:rFonts w:hint="eastAsia" w:ascii="MS Mincho" w:hAnsi="MS Mincho" w:eastAsia="宋体" w:cs="Times New Roman"/>
                <w:sz w:val="28"/>
                <w:szCs w:val="28"/>
              </w:rPr>
              <w:t>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]%</w:t>
            </w:r>
          </w:p>
          <w:p>
            <w:pPr>
              <w:pStyle w:val="16"/>
              <w:spacing w:line="500" w:lineRule="exact"/>
              <w:ind w:left="839" w:firstLine="0" w:firstLineChars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>
      <w:pPr>
        <w:rPr>
          <w:rFonts w:ascii="Times New Roman" w:hAnsi="Times New Roman" w:cs="Times New Roman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S Mincho">
    <w:panose1 w:val="02020609040205080304"/>
    <w:charset w:val="80"/>
    <w:family w:val="modern"/>
    <w:pitch w:val="default"/>
    <w:sig w:usb0="E00002FF" w:usb1="6AC7FDFB" w:usb2="08000012" w:usb3="00000000" w:csb0="4002009F" w:csb1="DFD7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074850439"/>
      <w:docPartObj>
        <w:docPartGallery w:val="autotext"/>
      </w:docPartObj>
    </w:sdtPr>
    <w:sdtContent>
      <w:sdt>
        <w:sdtPr>
          <w:id w:val="98381352"/>
          <w:docPartObj>
            <w:docPartGallery w:val="autotext"/>
          </w:docPartObj>
        </w:sdtPr>
        <w:sdtContent>
          <w:p>
            <w:pPr>
              <w:pStyle w:val="5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hint="eastAsia"/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hint="eastAsia"/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>
    <w:pPr>
      <w:pStyle w:val="5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2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94095"/>
    <w:rsid w:val="00012024"/>
    <w:rsid w:val="00012572"/>
    <w:rsid w:val="00015DBA"/>
    <w:rsid w:val="000722D0"/>
    <w:rsid w:val="00072764"/>
    <w:rsid w:val="00094095"/>
    <w:rsid w:val="00097117"/>
    <w:rsid w:val="000C0D33"/>
    <w:rsid w:val="00220A10"/>
    <w:rsid w:val="00222F59"/>
    <w:rsid w:val="00235023"/>
    <w:rsid w:val="002937BE"/>
    <w:rsid w:val="002A567A"/>
    <w:rsid w:val="0039308E"/>
    <w:rsid w:val="003E5DC8"/>
    <w:rsid w:val="004010FD"/>
    <w:rsid w:val="0045361A"/>
    <w:rsid w:val="00462174"/>
    <w:rsid w:val="00480127"/>
    <w:rsid w:val="004C5717"/>
    <w:rsid w:val="00523813"/>
    <w:rsid w:val="00570C22"/>
    <w:rsid w:val="00574585"/>
    <w:rsid w:val="00593501"/>
    <w:rsid w:val="005E6120"/>
    <w:rsid w:val="0061088D"/>
    <w:rsid w:val="00626426"/>
    <w:rsid w:val="007B0FB4"/>
    <w:rsid w:val="007B2DA9"/>
    <w:rsid w:val="0080133C"/>
    <w:rsid w:val="0080165A"/>
    <w:rsid w:val="00820C4F"/>
    <w:rsid w:val="0089648E"/>
    <w:rsid w:val="00903B60"/>
    <w:rsid w:val="009247F0"/>
    <w:rsid w:val="009449FF"/>
    <w:rsid w:val="009872E4"/>
    <w:rsid w:val="00A0108C"/>
    <w:rsid w:val="00A2593B"/>
    <w:rsid w:val="00A405EC"/>
    <w:rsid w:val="00A53248"/>
    <w:rsid w:val="00A9017D"/>
    <w:rsid w:val="00AC14DE"/>
    <w:rsid w:val="00AD339C"/>
    <w:rsid w:val="00AE48F5"/>
    <w:rsid w:val="00AF1937"/>
    <w:rsid w:val="00B43640"/>
    <w:rsid w:val="00B52E85"/>
    <w:rsid w:val="00B80774"/>
    <w:rsid w:val="00C230FD"/>
    <w:rsid w:val="00C23D41"/>
    <w:rsid w:val="00C4071B"/>
    <w:rsid w:val="00C506ED"/>
    <w:rsid w:val="00C76562"/>
    <w:rsid w:val="00CA4CDD"/>
    <w:rsid w:val="00CD21F8"/>
    <w:rsid w:val="00CF4392"/>
    <w:rsid w:val="00D27448"/>
    <w:rsid w:val="00D3220A"/>
    <w:rsid w:val="00D77C5E"/>
    <w:rsid w:val="00D851B8"/>
    <w:rsid w:val="00DA7799"/>
    <w:rsid w:val="00DE1E13"/>
    <w:rsid w:val="00E73531"/>
    <w:rsid w:val="00E77EF8"/>
    <w:rsid w:val="00E96983"/>
    <w:rsid w:val="00F032C0"/>
    <w:rsid w:val="00F34395"/>
    <w:rsid w:val="00F87C1F"/>
    <w:rsid w:val="24BD129C"/>
    <w:rsid w:val="41946119"/>
    <w:rsid w:val="495C4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Theme="minorEastAsia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10">
    <w:name w:val="Default Paragraph Font"/>
    <w:semiHidden/>
    <w:unhideWhenUsed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8"/>
    <w:semiHidden/>
    <w:unhideWhenUsed/>
    <w:uiPriority w:val="99"/>
    <w:pPr>
      <w:jc w:val="left"/>
    </w:pPr>
  </w:style>
  <w:style w:type="paragraph" w:styleId="3">
    <w:name w:val="endnote text"/>
    <w:basedOn w:val="1"/>
    <w:link w:val="13"/>
    <w:semiHidden/>
    <w:unhideWhenUsed/>
    <w:qFormat/>
    <w:uiPriority w:val="99"/>
    <w:pPr>
      <w:snapToGrid w:val="0"/>
      <w:jc w:val="left"/>
    </w:pPr>
  </w:style>
  <w:style w:type="paragraph" w:styleId="4">
    <w:name w:val="Balloon Text"/>
    <w:basedOn w:val="1"/>
    <w:link w:val="17"/>
    <w:semiHidden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5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4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annotation subject"/>
    <w:basedOn w:val="2"/>
    <w:next w:val="2"/>
    <w:link w:val="19"/>
    <w:semiHidden/>
    <w:unhideWhenUsed/>
    <w:qFormat/>
    <w:uiPriority w:val="99"/>
    <w:rPr>
      <w:b/>
      <w:bCs/>
    </w:rPr>
  </w:style>
  <w:style w:type="table" w:styleId="9">
    <w:name w:val="Table Grid"/>
    <w:basedOn w:val="8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endnote reference"/>
    <w:basedOn w:val="10"/>
    <w:semiHidden/>
    <w:unhideWhenUsed/>
    <w:uiPriority w:val="99"/>
    <w:rPr>
      <w:vertAlign w:val="superscript"/>
    </w:rPr>
  </w:style>
  <w:style w:type="character" w:styleId="12">
    <w:name w:val="annotation reference"/>
    <w:basedOn w:val="10"/>
    <w:semiHidden/>
    <w:unhideWhenUsed/>
    <w:uiPriority w:val="99"/>
    <w:rPr>
      <w:sz w:val="21"/>
      <w:szCs w:val="21"/>
    </w:rPr>
  </w:style>
  <w:style w:type="character" w:customStyle="1" w:styleId="13">
    <w:name w:val="尾注文本 字符"/>
    <w:basedOn w:val="10"/>
    <w:link w:val="3"/>
    <w:semiHidden/>
    <w:qFormat/>
    <w:uiPriority w:val="99"/>
  </w:style>
  <w:style w:type="character" w:customStyle="1" w:styleId="14">
    <w:name w:val="页眉 字符"/>
    <w:basedOn w:val="10"/>
    <w:link w:val="6"/>
    <w:uiPriority w:val="99"/>
    <w:rPr>
      <w:sz w:val="18"/>
      <w:szCs w:val="18"/>
    </w:rPr>
  </w:style>
  <w:style w:type="character" w:customStyle="1" w:styleId="15">
    <w:name w:val="页脚 字符"/>
    <w:basedOn w:val="10"/>
    <w:link w:val="5"/>
    <w:qFormat/>
    <w:uiPriority w:val="99"/>
    <w:rPr>
      <w:sz w:val="18"/>
      <w:szCs w:val="18"/>
    </w:rPr>
  </w:style>
  <w:style w:type="paragraph" w:styleId="16">
    <w:name w:val="List Paragraph"/>
    <w:basedOn w:val="1"/>
    <w:qFormat/>
    <w:uiPriority w:val="34"/>
    <w:pPr>
      <w:ind w:firstLine="420" w:firstLineChars="200"/>
    </w:pPr>
  </w:style>
  <w:style w:type="character" w:customStyle="1" w:styleId="17">
    <w:name w:val="批注框文本 字符"/>
    <w:basedOn w:val="10"/>
    <w:link w:val="4"/>
    <w:semiHidden/>
    <w:qFormat/>
    <w:uiPriority w:val="99"/>
    <w:rPr>
      <w:sz w:val="18"/>
      <w:szCs w:val="18"/>
    </w:rPr>
  </w:style>
  <w:style w:type="character" w:customStyle="1" w:styleId="18">
    <w:name w:val="批注文字 字符"/>
    <w:basedOn w:val="10"/>
    <w:link w:val="2"/>
    <w:semiHidden/>
    <w:qFormat/>
    <w:uiPriority w:val="99"/>
  </w:style>
  <w:style w:type="character" w:customStyle="1" w:styleId="19">
    <w:name w:val="批注主题 字符"/>
    <w:basedOn w:val="18"/>
    <w:link w:val="7"/>
    <w:semiHidden/>
    <w:uiPriority w:val="99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5.xml"/><Relationship Id="rId8" Type="http://schemas.openxmlformats.org/officeDocument/2006/relationships/customXml" Target="../customXml/item4.xml"/><Relationship Id="rId7" Type="http://schemas.openxmlformats.org/officeDocument/2006/relationships/customXml" Target="../customXml/item3.xml"/><Relationship Id="rId6" Type="http://schemas.openxmlformats.org/officeDocument/2006/relationships/customXml" Target="../customXml/item2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22E5092A796B00418A057A1D4C1A93F4" ma:contentTypeVersion="1" ma:contentTypeDescription="新建文档。" ma:contentTypeScope="" ma:versionID="5a550a1f1db50f9ed938fa3345f28121">
  <xsd:schema xmlns:xsd="http://www.w3.org/2001/XMLSchema" xmlns:xs="http://www.w3.org/2001/XMLSchema" xmlns:p="http://schemas.microsoft.com/office/2006/metadata/properties" xmlns:ns2="21d25965-9404-4416-972a-83478a9c2ac7" targetNamespace="http://schemas.microsoft.com/office/2006/metadata/properties" ma:root="true" ma:fieldsID="7649d1b713db123dcaf24a791213b3db" ns2:_="">
    <xsd:import namespace="21d25965-9404-4416-972a-83478a9c2ac7"/>
    <xsd:element name="properties">
      <xsd:complexType>
        <xsd:sequence>
          <xsd:element name="documentManagement">
            <xsd:complexType>
              <xsd:all>
                <xsd:element ref="ns2:SharedWithUser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d25965-9404-4416-972a-83478a9c2ac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共享对象: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7E8BA0F-32B3-4D3D-B651-AF3DF3F77117}">
  <ds:schemaRefs/>
</ds:datastoreItem>
</file>

<file path=customXml/itemProps3.xml><?xml version="1.0" encoding="utf-8"?>
<ds:datastoreItem xmlns:ds="http://schemas.openxmlformats.org/officeDocument/2006/customXml" ds:itemID="{A060C32D-1C60-402F-AD20-48B01CB614B5}">
  <ds:schemaRefs/>
</ds:datastoreItem>
</file>

<file path=customXml/itemProps4.xml><?xml version="1.0" encoding="utf-8"?>
<ds:datastoreItem xmlns:ds="http://schemas.openxmlformats.org/officeDocument/2006/customXml" ds:itemID="{1E02FC38-30EA-4F72-9081-FC759DD508A7}">
  <ds:schemaRefs/>
</ds:datastoreItem>
</file>

<file path=customXml/itemProps5.xml><?xml version="1.0" encoding="utf-8"?>
<ds:datastoreItem xmlns:ds="http://schemas.openxmlformats.org/officeDocument/2006/customXml" ds:itemID="{7D18A3B2-A311-433E-BC57-AA158AB949F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161</Words>
  <Characters>918</Characters>
  <Lines>7</Lines>
  <Paragraphs>2</Paragraphs>
  <TotalTime>6</TotalTime>
  <ScaleCrop>false</ScaleCrop>
  <LinksUpToDate>false</LinksUpToDate>
  <CharactersWithSpaces>1077</CharactersWithSpaces>
  <Application>WPS Office_11.1.0.10116_F1E327BC-269C-435d-A152-05C5408002CA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2016-12-20T11:09:00Z</dcterms:created>
  <dc:creator>dell</dc:creator>
  <cp:lastModifiedBy>ZL_xq</cp:lastModifiedBy>
  <cp:lastPrinted>2016-12-27T06:35:00Z</cp:lastPrinted>
  <dcterms:modified xsi:type="dcterms:W3CDTF">2021-03-10T08:15:21Z</dcterms:modified>
  <cp:revision>44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0x01010022E5092A796B00418A057A1D4C1A93F4</vt:lpwstr>
  </property>
  <property fmtid="{D5CDD505-2E9C-101B-9397-08002B2CF9AE}" pid="3" name="KSOProductBuildVer">
    <vt:lpwstr>2052-11.1.0.10116</vt:lpwstr>
  </property>
</Properties>
</file>