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spacing w:before="1"/>
        <w:rPr>
          <w:rFonts w:ascii="Times New Roman"/>
          <w:sz w:val="24"/>
        </w:rPr>
      </w:pPr>
    </w:p>
    <w:p>
      <w:pPr>
        <w:spacing w:before="58"/>
        <w:ind w:left="2632" w:right="2718" w:firstLine="0"/>
        <w:jc w:val="center"/>
        <w:rPr>
          <w:rFonts w:hint="eastAsia" w:ascii="黑体" w:eastAsia="黑体"/>
          <w:sz w:val="30"/>
        </w:rPr>
      </w:pPr>
      <w:r>
        <w:rPr>
          <w:rFonts w:hint="eastAsia" w:ascii="黑体" w:eastAsia="黑体"/>
          <w:sz w:val="30"/>
        </w:rPr>
        <w:t>经营者集中简易案件公示表</w:t>
      </w:r>
    </w:p>
    <w:p>
      <w:pPr>
        <w:pStyle w:val="2"/>
        <w:rPr>
          <w:rFonts w:ascii="黑体"/>
          <w:sz w:val="20"/>
        </w:rPr>
      </w:pPr>
    </w:p>
    <w:tbl>
      <w:tblPr>
        <w:tblStyle w:val="4"/>
        <w:tblpPr w:leftFromText="180" w:rightFromText="180" w:vertAnchor="text" w:horzAnchor="page" w:tblpX="1710" w:tblpY="8"/>
        <w:tblOverlap w:val="never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29"/>
        <w:gridCol w:w="1395"/>
        <w:gridCol w:w="5534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2" w:hRule="atLeast"/>
        </w:trPr>
        <w:tc>
          <w:tcPr>
            <w:tcW w:w="1829" w:type="dxa"/>
            <w:shd w:val="clear" w:color="auto" w:fill="D9D9D9"/>
            <w:vAlign w:val="center"/>
          </w:tcPr>
          <w:p>
            <w:pPr>
              <w:pStyle w:val="8"/>
              <w:spacing w:before="181"/>
              <w:ind w:left="107"/>
              <w:jc w:val="center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案件名称</w:t>
            </w:r>
          </w:p>
        </w:tc>
        <w:tc>
          <w:tcPr>
            <w:tcW w:w="6929" w:type="dxa"/>
            <w:gridSpan w:val="2"/>
            <w:vAlign w:val="center"/>
          </w:tcPr>
          <w:p>
            <w:pPr>
              <w:pStyle w:val="8"/>
              <w:spacing w:before="1" w:line="500" w:lineRule="exact"/>
              <w:ind w:right="94"/>
              <w:jc w:val="center"/>
              <w:rPr>
                <w:rFonts w:hint="eastAsia" w:ascii="宋体" w:eastAsia="宋体"/>
                <w:sz w:val="22"/>
              </w:rPr>
            </w:pPr>
            <w:r>
              <w:rPr>
                <w:rFonts w:hint="eastAsia" w:ascii="宋体" w:eastAsia="宋体"/>
                <w:sz w:val="22"/>
              </w:rPr>
              <w:t>珠海华发物业管理服务有限公司与</w:t>
            </w:r>
            <w:r>
              <w:rPr>
                <w:rFonts w:hint="eastAsia" w:ascii="宋体" w:eastAsia="宋体"/>
                <w:sz w:val="22"/>
                <w:lang w:val="en-US" w:eastAsia="zh-CN"/>
              </w:rPr>
              <w:t>西安融创归心物业服务有限公司拟</w:t>
            </w:r>
            <w:r>
              <w:rPr>
                <w:rFonts w:hint="eastAsia" w:ascii="宋体" w:eastAsia="宋体"/>
                <w:sz w:val="22"/>
              </w:rPr>
              <w:t>新设合营企业案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76" w:hRule="atLeast"/>
        </w:trPr>
        <w:tc>
          <w:tcPr>
            <w:tcW w:w="1829" w:type="dxa"/>
            <w:shd w:val="clear" w:color="auto" w:fill="D9D9D9"/>
            <w:vAlign w:val="center"/>
          </w:tcPr>
          <w:p>
            <w:pPr>
              <w:pStyle w:val="8"/>
              <w:spacing w:before="181" w:line="424" w:lineRule="auto"/>
              <w:ind w:left="107" w:right="95"/>
              <w:jc w:val="center"/>
              <w:rPr>
                <w:b/>
                <w:bCs/>
                <w:spacing w:val="-30"/>
                <w:sz w:val="22"/>
              </w:rPr>
            </w:pPr>
            <w:r>
              <w:rPr>
                <w:b/>
                <w:bCs/>
                <w:spacing w:val="-30"/>
                <w:sz w:val="22"/>
              </w:rPr>
              <w:t>交易概况</w:t>
            </w:r>
          </w:p>
          <w:p>
            <w:pPr>
              <w:pStyle w:val="8"/>
              <w:spacing w:before="181" w:line="424" w:lineRule="auto"/>
              <w:ind w:left="107" w:right="95"/>
              <w:jc w:val="center"/>
              <w:rPr>
                <w:b/>
                <w:bCs/>
                <w:sz w:val="22"/>
              </w:rPr>
            </w:pPr>
            <w:r>
              <w:rPr>
                <w:b/>
                <w:bCs/>
                <w:spacing w:val="-3"/>
                <w:sz w:val="22"/>
              </w:rPr>
              <w:t>（</w:t>
            </w:r>
            <w:r>
              <w:rPr>
                <w:b/>
                <w:bCs/>
                <w:spacing w:val="-27"/>
                <w:sz w:val="22"/>
              </w:rPr>
              <w:t xml:space="preserve">限 </w:t>
            </w:r>
            <w:r>
              <w:rPr>
                <w:b/>
                <w:bCs/>
                <w:spacing w:val="-5"/>
                <w:sz w:val="22"/>
              </w:rPr>
              <w:t xml:space="preserve">200 </w:t>
            </w:r>
            <w:r>
              <w:rPr>
                <w:b/>
                <w:bCs/>
                <w:spacing w:val="-2"/>
                <w:sz w:val="22"/>
              </w:rPr>
              <w:t>字内</w:t>
            </w:r>
            <w:r>
              <w:rPr>
                <w:b/>
                <w:bCs/>
                <w:sz w:val="22"/>
              </w:rPr>
              <w:t>）</w:t>
            </w:r>
          </w:p>
        </w:tc>
        <w:tc>
          <w:tcPr>
            <w:tcW w:w="6929" w:type="dxa"/>
            <w:gridSpan w:val="2"/>
          </w:tcPr>
          <w:p>
            <w:pPr>
              <w:pStyle w:val="8"/>
              <w:spacing w:before="181" w:line="424" w:lineRule="auto"/>
              <w:ind w:right="84"/>
              <w:jc w:val="both"/>
              <w:rPr>
                <w:rFonts w:hint="eastAsia" w:ascii="宋体" w:eastAsia="宋体"/>
                <w:sz w:val="22"/>
              </w:rPr>
            </w:pPr>
            <w:r>
              <w:rPr>
                <w:rFonts w:hint="eastAsia" w:ascii="宋体" w:hAnsi="宋体" w:eastAsia="宋体"/>
                <w:spacing w:val="-5"/>
                <w:sz w:val="22"/>
              </w:rPr>
              <w:t>珠海华发物业管理服务有限公司（“珠海华发物业”）与</w:t>
            </w:r>
            <w:r>
              <w:rPr>
                <w:rFonts w:hint="eastAsia" w:ascii="宋体" w:hAnsi="宋体" w:eastAsia="宋体"/>
                <w:spacing w:val="-5"/>
                <w:sz w:val="22"/>
                <w:lang w:val="en-US" w:eastAsia="zh-CN"/>
              </w:rPr>
              <w:t>西安融创归心物业服务有限公司</w:t>
            </w:r>
            <w:r>
              <w:rPr>
                <w:rFonts w:hint="eastAsia" w:ascii="宋体" w:hAnsi="宋体" w:eastAsia="宋体"/>
                <w:spacing w:val="-5"/>
                <w:sz w:val="22"/>
              </w:rPr>
              <w:t>（“</w:t>
            </w:r>
            <w:r>
              <w:rPr>
                <w:rFonts w:hint="eastAsia" w:ascii="宋体" w:hAnsi="宋体" w:eastAsia="宋体"/>
                <w:spacing w:val="-5"/>
                <w:sz w:val="22"/>
                <w:lang w:val="en-US" w:eastAsia="zh-CN"/>
              </w:rPr>
              <w:t>西安融创物业</w:t>
            </w:r>
            <w:r>
              <w:rPr>
                <w:rFonts w:hint="eastAsia" w:ascii="宋体" w:hAnsi="宋体" w:eastAsia="宋体"/>
                <w:spacing w:val="-5"/>
                <w:sz w:val="22"/>
              </w:rPr>
              <w:t>”）</w:t>
            </w:r>
            <w:r>
              <w:rPr>
                <w:rFonts w:hint="eastAsia" w:ascii="宋体" w:hAnsi="宋体" w:eastAsia="宋体"/>
                <w:spacing w:val="-5"/>
                <w:sz w:val="22"/>
                <w:lang w:val="en-US" w:eastAsia="zh-CN"/>
              </w:rPr>
              <w:t>拟</w:t>
            </w:r>
            <w:r>
              <w:rPr>
                <w:rFonts w:hint="eastAsia" w:ascii="宋体" w:hAnsi="宋体" w:eastAsia="宋体"/>
                <w:spacing w:val="-5"/>
                <w:sz w:val="22"/>
              </w:rPr>
              <w:t>新设合营企业，合营企业主营业务首先为</w:t>
            </w:r>
            <w:r>
              <w:rPr>
                <w:rFonts w:hint="eastAsia" w:ascii="宋体" w:hAnsi="宋体" w:eastAsia="宋体"/>
                <w:spacing w:val="-5"/>
                <w:sz w:val="22"/>
                <w:lang w:val="en-US" w:eastAsia="zh-CN"/>
              </w:rPr>
              <w:t>双方关联公司共同开发建设的</w:t>
            </w:r>
            <w:r>
              <w:rPr>
                <w:rFonts w:hint="eastAsia" w:ascii="宋体" w:hAnsi="宋体" w:eastAsia="宋体"/>
                <w:spacing w:val="-5"/>
                <w:sz w:val="22"/>
              </w:rPr>
              <w:t>项目提供物业</w:t>
            </w:r>
            <w:r>
              <w:rPr>
                <w:rFonts w:hint="eastAsia" w:ascii="宋体" w:hAnsi="宋体" w:eastAsia="宋体"/>
                <w:spacing w:val="-11"/>
                <w:sz w:val="22"/>
              </w:rPr>
              <w:t>管理服务</w:t>
            </w:r>
            <w:r>
              <w:rPr>
                <w:rFonts w:hint="eastAsia" w:ascii="宋体" w:eastAsia="宋体"/>
                <w:sz w:val="22"/>
              </w:rPr>
              <w:t>。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00" w:hRule="atLeast"/>
        </w:trPr>
        <w:tc>
          <w:tcPr>
            <w:tcW w:w="1829" w:type="dxa"/>
            <w:vMerge w:val="restart"/>
            <w:shd w:val="clear" w:color="auto" w:fill="D9D9D9"/>
            <w:vAlign w:val="center"/>
          </w:tcPr>
          <w:p>
            <w:pPr>
              <w:pStyle w:val="8"/>
              <w:spacing w:before="180" w:line="427" w:lineRule="auto"/>
              <w:ind w:left="107" w:right="95"/>
              <w:jc w:val="center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参与集中的经营者简介</w:t>
            </w:r>
          </w:p>
        </w:tc>
        <w:tc>
          <w:tcPr>
            <w:tcW w:w="1395" w:type="dxa"/>
            <w:vAlign w:val="center"/>
          </w:tcPr>
          <w:p>
            <w:pPr>
              <w:pStyle w:val="8"/>
              <w:spacing w:before="180"/>
              <w:jc w:val="both"/>
              <w:rPr>
                <w:rFonts w:hint="eastAsia" w:asciiTheme="majorEastAsia" w:hAnsiTheme="majorEastAsia" w:eastAsiaTheme="majorEastAsia" w:cstheme="majorEastAsia"/>
                <w:sz w:val="22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2"/>
              </w:rPr>
              <w:t>1、珠海华发物业</w:t>
            </w:r>
          </w:p>
        </w:tc>
        <w:tc>
          <w:tcPr>
            <w:tcW w:w="5534" w:type="dxa"/>
            <w:vAlign w:val="center"/>
          </w:tcPr>
          <w:p>
            <w:pPr>
              <w:pStyle w:val="8"/>
              <w:spacing w:before="1" w:line="500" w:lineRule="atLeast"/>
              <w:ind w:left="107" w:right="96"/>
              <w:jc w:val="both"/>
              <w:rPr>
                <w:rFonts w:hint="eastAsia" w:ascii="宋体" w:eastAsia="宋体"/>
                <w:sz w:val="22"/>
              </w:rPr>
            </w:pPr>
            <w:r>
              <w:rPr>
                <w:rFonts w:hint="eastAsia" w:ascii="宋体" w:eastAsia="宋体"/>
                <w:sz w:val="22"/>
              </w:rPr>
              <w:t>珠海华发物业是珠海华发集团有限公司的全资子公司，国家一级资质物业管理企业。公司业务范围包括承接物业管理服务及咨询等。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00" w:hRule="atLeast"/>
        </w:trPr>
        <w:tc>
          <w:tcPr>
            <w:tcW w:w="1829" w:type="dxa"/>
            <w:vMerge w:val="continue"/>
            <w:tcBorders>
              <w:top w:val="nil"/>
            </w:tcBorders>
            <w:shd w:val="clear" w:color="auto" w:fill="D9D9D9"/>
            <w:vAlign w:val="center"/>
          </w:tcPr>
          <w:p>
            <w:pPr>
              <w:jc w:val="center"/>
              <w:rPr>
                <w:b/>
                <w:bCs/>
                <w:sz w:val="2"/>
                <w:szCs w:val="2"/>
              </w:rPr>
            </w:pPr>
          </w:p>
        </w:tc>
        <w:tc>
          <w:tcPr>
            <w:tcW w:w="1395" w:type="dxa"/>
            <w:vAlign w:val="center"/>
          </w:tcPr>
          <w:p>
            <w:pPr>
              <w:pStyle w:val="8"/>
              <w:spacing w:before="182" w:line="424" w:lineRule="auto"/>
              <w:ind w:right="93"/>
              <w:jc w:val="both"/>
              <w:rPr>
                <w:rFonts w:hint="eastAsia" w:asciiTheme="majorEastAsia" w:hAnsiTheme="majorEastAsia" w:eastAsiaTheme="majorEastAsia" w:cstheme="majorEastAsia"/>
                <w:sz w:val="22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2"/>
              </w:rPr>
              <w:t>2、</w:t>
            </w:r>
            <w:r>
              <w:rPr>
                <w:rFonts w:hint="eastAsia" w:asciiTheme="majorEastAsia" w:hAnsiTheme="majorEastAsia" w:eastAsiaTheme="majorEastAsia" w:cstheme="majorEastAsia"/>
                <w:sz w:val="22"/>
                <w:lang w:val="en-US" w:eastAsia="zh-CN"/>
              </w:rPr>
              <w:t>西安融创物业</w:t>
            </w:r>
          </w:p>
        </w:tc>
        <w:tc>
          <w:tcPr>
            <w:tcW w:w="5534" w:type="dxa"/>
            <w:vAlign w:val="center"/>
          </w:tcPr>
          <w:p>
            <w:pPr>
              <w:pStyle w:val="8"/>
              <w:spacing w:before="2" w:line="500" w:lineRule="exact"/>
              <w:ind w:left="107" w:right="96"/>
              <w:jc w:val="both"/>
              <w:rPr>
                <w:rFonts w:hint="eastAsia" w:ascii="宋体" w:eastAsia="仿宋"/>
                <w:sz w:val="22"/>
                <w:lang w:eastAsia="zh-CN"/>
              </w:rPr>
            </w:pPr>
            <w:r>
              <w:rPr>
                <w:rFonts w:hint="eastAsia" w:ascii="宋体" w:eastAsia="宋体"/>
                <w:sz w:val="22"/>
              </w:rPr>
              <w:t>2021年</w:t>
            </w:r>
            <w:r>
              <w:rPr>
                <w:rFonts w:hint="eastAsia" w:ascii="宋体" w:eastAsia="宋体"/>
                <w:sz w:val="22"/>
                <w:lang w:val="en-US" w:eastAsia="zh-CN"/>
              </w:rPr>
              <w:t>2</w:t>
            </w:r>
            <w:r>
              <w:rPr>
                <w:rFonts w:hint="eastAsia" w:ascii="宋体" w:eastAsia="宋体"/>
                <w:sz w:val="22"/>
              </w:rPr>
              <w:t>月</w:t>
            </w:r>
            <w:r>
              <w:rPr>
                <w:rFonts w:hint="eastAsia" w:ascii="宋体" w:eastAsia="宋体"/>
                <w:sz w:val="22"/>
                <w:lang w:val="en-US" w:eastAsia="zh-CN"/>
              </w:rPr>
              <w:t>23</w:t>
            </w:r>
            <w:r>
              <w:rPr>
                <w:rFonts w:hint="eastAsia" w:ascii="宋体" w:eastAsia="宋体"/>
                <w:sz w:val="22"/>
              </w:rPr>
              <w:t>日</w:t>
            </w:r>
            <w:r>
              <w:rPr>
                <w:rFonts w:hint="eastAsia" w:ascii="宋体" w:eastAsia="宋体"/>
                <w:sz w:val="22"/>
                <w:lang w:eastAsia="zh-CN"/>
              </w:rPr>
              <w:t>西安融创归心物业服务有限公司</w:t>
            </w:r>
            <w:r>
              <w:rPr>
                <w:rFonts w:hint="eastAsia" w:ascii="宋体" w:eastAsia="宋体"/>
                <w:sz w:val="22"/>
              </w:rPr>
              <w:t>设立完毕</w:t>
            </w:r>
            <w:r>
              <w:rPr>
                <w:rFonts w:hint="eastAsia" w:ascii="宋体" w:eastAsia="宋体"/>
                <w:sz w:val="22"/>
                <w:lang w:eastAsia="zh-CN"/>
              </w:rPr>
              <w:t>，</w:t>
            </w:r>
            <w:r>
              <w:rPr>
                <w:rFonts w:hint="eastAsia" w:ascii="宋体" w:eastAsia="宋体"/>
                <w:sz w:val="22"/>
              </w:rPr>
              <w:t>融创物业服务集团有限公司持有</w:t>
            </w:r>
            <w:r>
              <w:rPr>
                <w:rFonts w:hint="eastAsia" w:ascii="宋体" w:eastAsia="宋体"/>
                <w:sz w:val="22"/>
                <w:lang w:eastAsia="zh-CN"/>
              </w:rPr>
              <w:t>西安融创归心物业服务有限公司</w:t>
            </w:r>
            <w:r>
              <w:rPr>
                <w:rFonts w:hint="eastAsia" w:ascii="宋体" w:eastAsia="宋体"/>
                <w:sz w:val="22"/>
              </w:rPr>
              <w:t>100%股权</w:t>
            </w:r>
            <w:r>
              <w:rPr>
                <w:rFonts w:hint="eastAsia" w:ascii="宋体" w:eastAsia="宋体"/>
                <w:sz w:val="22"/>
                <w:lang w:eastAsia="zh-CN"/>
              </w:rPr>
              <w:t>。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98" w:hRule="atLeast"/>
        </w:trPr>
        <w:tc>
          <w:tcPr>
            <w:tcW w:w="1829" w:type="dxa"/>
            <w:vMerge w:val="restart"/>
            <w:tcBorders>
              <w:bottom w:val="single" w:color="000000" w:sz="4" w:space="0"/>
            </w:tcBorders>
            <w:shd w:val="clear" w:color="auto" w:fill="D9D9D9"/>
            <w:vAlign w:val="center"/>
          </w:tcPr>
          <w:p>
            <w:pPr>
              <w:pStyle w:val="8"/>
              <w:spacing w:before="179"/>
              <w:ind w:left="107"/>
              <w:jc w:val="center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简易案件理由</w:t>
            </w:r>
          </w:p>
          <w:p>
            <w:pPr>
              <w:pStyle w:val="8"/>
              <w:ind w:left="0"/>
              <w:jc w:val="center"/>
              <w:rPr>
                <w:rFonts w:ascii="黑体"/>
                <w:b/>
                <w:bCs/>
                <w:sz w:val="17"/>
              </w:rPr>
            </w:pPr>
          </w:p>
          <w:p>
            <w:pPr>
              <w:pStyle w:val="8"/>
              <w:ind w:left="107"/>
              <w:jc w:val="center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（可多选）</w:t>
            </w:r>
          </w:p>
        </w:tc>
        <w:tc>
          <w:tcPr>
            <w:tcW w:w="6929" w:type="dxa"/>
            <w:gridSpan w:val="2"/>
            <w:tcBorders>
              <w:bottom w:val="single" w:color="000000" w:sz="4" w:space="0"/>
            </w:tcBorders>
            <w:vAlign w:val="top"/>
          </w:tcPr>
          <w:p>
            <w:pPr>
              <w:pStyle w:val="8"/>
              <w:spacing w:line="500" w:lineRule="exact"/>
              <w:ind w:right="142"/>
              <w:jc w:val="left"/>
              <w:rPr>
                <w:sz w:val="22"/>
              </w:rPr>
            </w:pPr>
            <w:r>
              <w:rPr>
                <w:rFonts w:ascii="Wingdings" w:hAnsi="Wingdings" w:eastAsia="Wingdings"/>
                <w:sz w:val="22"/>
              </w:rPr>
              <w:sym w:font="Wingdings" w:char="00FE"/>
            </w:r>
            <w:r>
              <w:rPr>
                <w:sz w:val="22"/>
              </w:rPr>
              <w:t>1、在同一相关市场，所有参与集中的经营者所占市场份额之和小于15%。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98" w:hRule="atLeast"/>
        </w:trPr>
        <w:tc>
          <w:tcPr>
            <w:tcW w:w="1829" w:type="dxa"/>
            <w:vMerge w:val="continue"/>
            <w:tcBorders>
              <w:top w:val="single" w:color="000000" w:sz="4" w:space="0"/>
              <w:bottom w:val="single" w:color="000000" w:sz="4" w:space="0"/>
            </w:tcBorders>
            <w:shd w:val="clear" w:color="auto" w:fill="D9D9D9"/>
            <w:vAlign w:val="center"/>
          </w:tcPr>
          <w:p>
            <w:pPr>
              <w:jc w:val="center"/>
              <w:rPr>
                <w:b/>
                <w:bCs/>
                <w:sz w:val="2"/>
                <w:szCs w:val="2"/>
              </w:rPr>
            </w:pPr>
          </w:p>
        </w:tc>
        <w:tc>
          <w:tcPr>
            <w:tcW w:w="6929" w:type="dxa"/>
            <w:gridSpan w:val="2"/>
            <w:tcBorders>
              <w:top w:val="single" w:color="000000" w:sz="4" w:space="0"/>
              <w:bottom w:val="single" w:color="000000" w:sz="4" w:space="0"/>
            </w:tcBorders>
            <w:vAlign w:val="top"/>
          </w:tcPr>
          <w:p>
            <w:pPr>
              <w:pStyle w:val="8"/>
              <w:spacing w:line="500" w:lineRule="exact"/>
              <w:ind w:right="96"/>
              <w:jc w:val="left"/>
              <w:rPr>
                <w:sz w:val="22"/>
              </w:rPr>
            </w:pPr>
            <w:r>
              <w:rPr>
                <w:rFonts w:ascii="Wingdings" w:hAnsi="Wingdings" w:eastAsia="Wingdings"/>
                <w:sz w:val="22"/>
              </w:rPr>
              <w:t></w:t>
            </w:r>
            <w:r>
              <w:rPr>
                <w:sz w:val="22"/>
              </w:rPr>
              <w:t>2、存在上下游关系的参与集中的经营者，在上下游市场所占的市场份额均小于 25%。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98" w:hRule="atLeast"/>
        </w:trPr>
        <w:tc>
          <w:tcPr>
            <w:tcW w:w="1829" w:type="dxa"/>
            <w:vMerge w:val="continue"/>
            <w:tcBorders>
              <w:top w:val="single" w:color="000000" w:sz="4" w:space="0"/>
              <w:bottom w:val="single" w:color="000000" w:sz="4" w:space="0"/>
            </w:tcBorders>
            <w:shd w:val="clear" w:color="auto" w:fill="D9D9D9"/>
            <w:vAlign w:val="center"/>
          </w:tcPr>
          <w:p>
            <w:pPr>
              <w:jc w:val="center"/>
              <w:rPr>
                <w:b/>
                <w:bCs/>
                <w:sz w:val="2"/>
                <w:szCs w:val="2"/>
              </w:rPr>
            </w:pPr>
          </w:p>
        </w:tc>
        <w:tc>
          <w:tcPr>
            <w:tcW w:w="6929" w:type="dxa"/>
            <w:gridSpan w:val="2"/>
            <w:tcBorders>
              <w:top w:val="single" w:color="000000" w:sz="4" w:space="0"/>
              <w:bottom w:val="single" w:color="000000" w:sz="4" w:space="0"/>
            </w:tcBorders>
            <w:vAlign w:val="top"/>
          </w:tcPr>
          <w:p>
            <w:pPr>
              <w:pStyle w:val="8"/>
              <w:spacing w:before="178"/>
              <w:jc w:val="left"/>
              <w:rPr>
                <w:sz w:val="22"/>
              </w:rPr>
            </w:pPr>
            <w:r>
              <w:rPr>
                <w:sz w:val="22"/>
              </w:rPr>
              <w:t>□3、不在同一相关市场、也不存在上下游关系的参与集中的经营者，</w:t>
            </w:r>
          </w:p>
          <w:p>
            <w:pPr>
              <w:pStyle w:val="8"/>
              <w:spacing w:before="1"/>
              <w:ind w:left="0"/>
              <w:jc w:val="left"/>
              <w:rPr>
                <w:rFonts w:ascii="黑体"/>
                <w:sz w:val="17"/>
              </w:rPr>
            </w:pPr>
          </w:p>
          <w:p>
            <w:pPr>
              <w:pStyle w:val="8"/>
              <w:spacing w:before="1"/>
              <w:jc w:val="left"/>
              <w:rPr>
                <w:sz w:val="22"/>
              </w:rPr>
            </w:pPr>
            <w:r>
              <w:rPr>
                <w:sz w:val="22"/>
              </w:rPr>
              <w:t>在与交易有关的每个市场所占的份额均小于 25%。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00" w:hRule="atLeast"/>
        </w:trPr>
        <w:tc>
          <w:tcPr>
            <w:tcW w:w="1829" w:type="dxa"/>
            <w:vMerge w:val="continue"/>
            <w:tcBorders>
              <w:top w:val="single" w:color="000000" w:sz="4" w:space="0"/>
              <w:bottom w:val="single" w:color="000000" w:sz="4" w:space="0"/>
            </w:tcBorders>
            <w:shd w:val="clear" w:color="auto" w:fill="D9D9D9"/>
            <w:vAlign w:val="center"/>
          </w:tcPr>
          <w:p>
            <w:pPr>
              <w:jc w:val="center"/>
              <w:rPr>
                <w:b/>
                <w:bCs/>
                <w:sz w:val="2"/>
                <w:szCs w:val="2"/>
              </w:rPr>
            </w:pPr>
          </w:p>
        </w:tc>
        <w:tc>
          <w:tcPr>
            <w:tcW w:w="6929" w:type="dxa"/>
            <w:gridSpan w:val="2"/>
            <w:tcBorders>
              <w:top w:val="single" w:color="000000" w:sz="4" w:space="0"/>
              <w:bottom w:val="single" w:color="000000" w:sz="4" w:space="0"/>
            </w:tcBorders>
            <w:vAlign w:val="top"/>
          </w:tcPr>
          <w:p>
            <w:pPr>
              <w:pStyle w:val="8"/>
              <w:spacing w:before="180"/>
              <w:jc w:val="left"/>
              <w:rPr>
                <w:sz w:val="22"/>
              </w:rPr>
            </w:pPr>
            <w:r>
              <w:rPr>
                <w:sz w:val="22"/>
              </w:rPr>
              <w:t>□4、参与集中的经营者在中国境外设立合营企业，合营企业不在中国</w:t>
            </w:r>
          </w:p>
          <w:p>
            <w:pPr>
              <w:pStyle w:val="8"/>
              <w:spacing w:before="2"/>
              <w:ind w:left="0"/>
              <w:jc w:val="left"/>
              <w:rPr>
                <w:rFonts w:ascii="黑体"/>
                <w:sz w:val="17"/>
              </w:rPr>
            </w:pPr>
          </w:p>
          <w:p>
            <w:pPr>
              <w:pStyle w:val="8"/>
              <w:jc w:val="left"/>
              <w:rPr>
                <w:sz w:val="22"/>
              </w:rPr>
            </w:pPr>
            <w:r>
              <w:rPr>
                <w:sz w:val="22"/>
              </w:rPr>
              <w:t>境内从事经济活动。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00" w:hRule="atLeast"/>
        </w:trPr>
        <w:tc>
          <w:tcPr>
            <w:tcW w:w="1829" w:type="dxa"/>
            <w:vMerge w:val="continue"/>
            <w:tcBorders>
              <w:top w:val="single" w:color="000000" w:sz="4" w:space="0"/>
              <w:bottom w:val="single" w:color="000000" w:sz="4" w:space="0"/>
            </w:tcBorders>
            <w:shd w:val="clear" w:color="auto" w:fill="D9D9D9"/>
            <w:vAlign w:val="center"/>
          </w:tcPr>
          <w:p>
            <w:pPr>
              <w:jc w:val="center"/>
              <w:rPr>
                <w:b/>
                <w:bCs/>
                <w:sz w:val="2"/>
                <w:szCs w:val="2"/>
              </w:rPr>
            </w:pPr>
          </w:p>
        </w:tc>
        <w:tc>
          <w:tcPr>
            <w:tcW w:w="6929" w:type="dxa"/>
            <w:gridSpan w:val="2"/>
            <w:tcBorders>
              <w:top w:val="single" w:color="000000" w:sz="4" w:space="0"/>
              <w:bottom w:val="single" w:color="000000" w:sz="4" w:space="0"/>
            </w:tcBorders>
            <w:vAlign w:val="top"/>
          </w:tcPr>
          <w:p>
            <w:pPr>
              <w:pStyle w:val="8"/>
              <w:spacing w:before="1" w:line="500" w:lineRule="exact"/>
              <w:ind w:right="94"/>
              <w:jc w:val="left"/>
              <w:rPr>
                <w:sz w:val="22"/>
              </w:rPr>
            </w:pPr>
            <w:r>
              <w:rPr>
                <w:sz w:val="22"/>
              </w:rPr>
              <w:t>□5、参与集中的经营者收购境外企业股权或资产的，该境外企业不在中国境内从事经济活动。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96" w:hRule="atLeast"/>
        </w:trPr>
        <w:tc>
          <w:tcPr>
            <w:tcW w:w="1829" w:type="dxa"/>
            <w:vMerge w:val="continue"/>
            <w:tcBorders>
              <w:top w:val="single" w:color="000000" w:sz="4" w:space="0"/>
              <w:bottom w:val="single" w:color="000000" w:sz="4" w:space="0"/>
            </w:tcBorders>
            <w:shd w:val="clear" w:color="auto" w:fill="D9D9D9"/>
            <w:vAlign w:val="center"/>
          </w:tcPr>
          <w:p>
            <w:pPr>
              <w:jc w:val="center"/>
              <w:rPr>
                <w:b/>
                <w:bCs/>
                <w:sz w:val="2"/>
                <w:szCs w:val="2"/>
              </w:rPr>
            </w:pPr>
          </w:p>
        </w:tc>
        <w:tc>
          <w:tcPr>
            <w:tcW w:w="6929" w:type="dxa"/>
            <w:gridSpan w:val="2"/>
            <w:tcBorders>
              <w:top w:val="single" w:color="000000" w:sz="4" w:space="0"/>
              <w:bottom w:val="single" w:color="000000" w:sz="4" w:space="0"/>
            </w:tcBorders>
            <w:vAlign w:val="top"/>
          </w:tcPr>
          <w:p>
            <w:pPr>
              <w:pStyle w:val="8"/>
              <w:spacing w:line="500" w:lineRule="exact"/>
              <w:ind w:right="94"/>
              <w:jc w:val="left"/>
              <w:rPr>
                <w:sz w:val="22"/>
              </w:rPr>
            </w:pPr>
            <w:r>
              <w:rPr>
                <w:sz w:val="22"/>
              </w:rPr>
              <w:t>□6、由两个以上的经营者共同控制的合营企业，通过集中被其中一个或一个以上经营者控制。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96" w:hRule="atLeast"/>
        </w:trPr>
        <w:tc>
          <w:tcPr>
            <w:tcW w:w="1829" w:type="dxa"/>
            <w:tcBorders>
              <w:top w:val="single" w:color="000000" w:sz="4" w:space="0"/>
            </w:tcBorders>
            <w:shd w:val="clear" w:color="auto" w:fill="D9D9D9"/>
            <w:vAlign w:val="center"/>
          </w:tcPr>
          <w:p>
            <w:pPr>
              <w:jc w:val="center"/>
              <w:rPr>
                <w:b/>
                <w:bCs/>
                <w:sz w:val="2"/>
                <w:szCs w:val="2"/>
              </w:rPr>
            </w:pPr>
          </w:p>
          <w:p>
            <w:pPr>
              <w:bidi w:val="0"/>
              <w:jc w:val="center"/>
              <w:rPr>
                <w:rFonts w:ascii="宋体" w:hAnsi="宋体" w:eastAsia="宋体" w:cs="宋体"/>
                <w:b/>
                <w:bCs/>
                <w:sz w:val="22"/>
                <w:szCs w:val="22"/>
                <w:lang w:val="zh-CN" w:eastAsia="zh-CN" w:bidi="zh-CN"/>
              </w:rPr>
            </w:pPr>
          </w:p>
          <w:p>
            <w:pPr>
              <w:bidi w:val="0"/>
              <w:jc w:val="center"/>
              <w:rPr>
                <w:b/>
                <w:bCs/>
                <w:lang w:val="zh-CN" w:eastAsia="zh-CN"/>
              </w:rPr>
            </w:pPr>
          </w:p>
          <w:p>
            <w:pPr>
              <w:bidi w:val="0"/>
              <w:jc w:val="center"/>
              <w:rPr>
                <w:rFonts w:hint="eastAsia"/>
                <w:b/>
                <w:bCs/>
                <w:lang w:val="en-US" w:eastAsia="zh-CN"/>
              </w:rPr>
            </w:pPr>
          </w:p>
          <w:p>
            <w:pPr>
              <w:bidi w:val="0"/>
              <w:jc w:val="center"/>
              <w:rPr>
                <w:rFonts w:hint="eastAsia"/>
                <w:b/>
                <w:bCs/>
                <w:lang w:val="en-US" w:eastAsia="zh-CN"/>
              </w:rPr>
            </w:pPr>
          </w:p>
          <w:p>
            <w:pPr>
              <w:bidi w:val="0"/>
              <w:jc w:val="center"/>
              <w:rPr>
                <w:rFonts w:hint="eastAsia"/>
                <w:b/>
                <w:bCs/>
                <w:lang w:val="en-US" w:eastAsia="zh-CN"/>
              </w:rPr>
            </w:pPr>
          </w:p>
          <w:p>
            <w:pPr>
              <w:bidi w:val="0"/>
              <w:jc w:val="center"/>
              <w:rPr>
                <w:rFonts w:hint="eastAsia"/>
                <w:b/>
                <w:bCs/>
                <w:lang w:val="en-US" w:eastAsia="zh-CN"/>
              </w:rPr>
            </w:pPr>
          </w:p>
          <w:p>
            <w:pPr>
              <w:bidi w:val="0"/>
              <w:jc w:val="center"/>
              <w:rPr>
                <w:rFonts w:hint="eastAsia"/>
                <w:b/>
                <w:bCs/>
                <w:lang w:val="en-US" w:eastAsia="zh-CN"/>
              </w:rPr>
            </w:pPr>
          </w:p>
          <w:p>
            <w:pPr>
              <w:bidi w:val="0"/>
              <w:jc w:val="center"/>
              <w:rPr>
                <w:rFonts w:hint="eastAsia"/>
                <w:b/>
                <w:bCs/>
                <w:lang w:val="en-US" w:eastAsia="zh-CN"/>
              </w:rPr>
            </w:pPr>
          </w:p>
          <w:p>
            <w:pPr>
              <w:bidi w:val="0"/>
              <w:jc w:val="center"/>
              <w:rPr>
                <w:rFonts w:hint="default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备注</w:t>
            </w:r>
          </w:p>
        </w:tc>
        <w:tc>
          <w:tcPr>
            <w:tcW w:w="6929" w:type="dxa"/>
            <w:gridSpan w:val="2"/>
            <w:tcBorders>
              <w:top w:val="single" w:color="000000" w:sz="4" w:space="0"/>
            </w:tcBorders>
          </w:tcPr>
          <w:p>
            <w:pPr>
              <w:pStyle w:val="8"/>
              <w:spacing w:line="500" w:lineRule="exact"/>
              <w:ind w:right="94"/>
              <w:rPr>
                <w:sz w:val="22"/>
              </w:rPr>
            </w:pPr>
          </w:p>
          <w:p>
            <w:pPr>
              <w:pStyle w:val="8"/>
              <w:spacing w:line="500" w:lineRule="exact"/>
              <w:ind w:right="94"/>
              <w:rPr>
                <w:sz w:val="22"/>
              </w:rPr>
            </w:pPr>
          </w:p>
          <w:p>
            <w:pPr>
              <w:pStyle w:val="8"/>
              <w:spacing w:line="500" w:lineRule="exact"/>
              <w:ind w:left="0" w:leftChars="0" w:right="94" w:firstLine="0" w:firstLineChars="0"/>
              <w:rPr>
                <w:sz w:val="22"/>
              </w:rPr>
            </w:pP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right="0" w:rightChar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1"/>
                <w:szCs w:val="21"/>
                <w:lang w:val="en-US" w:eastAsia="zh-CN" w:bidi="ar"/>
              </w:rPr>
              <w:t>相关商品市场一：住宅物业管理服务市场；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right="0" w:rightChar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1"/>
                <w:szCs w:val="21"/>
                <w:lang w:val="en-US" w:eastAsia="zh-CN" w:bidi="ar"/>
              </w:rPr>
              <w:t>相关地域市场：西安市；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right="0" w:rightChars="0"/>
              <w:jc w:val="left"/>
              <w:rPr>
                <w:rFonts w:ascii="Times New Roman"/>
                <w:sz w:val="22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1"/>
                <w:szCs w:val="21"/>
                <w:lang w:val="en-US" w:eastAsia="zh-CN" w:bidi="ar"/>
              </w:rPr>
              <w:t>市场份额：西安融创物业</w:t>
            </w:r>
            <w:r>
              <w:rPr>
                <w:rFonts w:ascii="Times New Roman"/>
                <w:sz w:val="22"/>
              </w:rPr>
              <w:t>[</w:t>
            </w:r>
            <w:r>
              <w:rPr>
                <w:rFonts w:hint="eastAsia" w:ascii="Times New Roman"/>
                <w:sz w:val="22"/>
                <w:lang w:val="en-US" w:eastAsia="zh-CN"/>
              </w:rPr>
              <w:t>0.85</w:t>
            </w:r>
            <w:r>
              <w:rPr>
                <w:rFonts w:ascii="Times New Roman"/>
                <w:sz w:val="22"/>
              </w:rPr>
              <w:t>%]</w:t>
            </w:r>
            <w:r>
              <w:rPr>
                <w:rFonts w:hint="eastAsia" w:ascii="Times New Roman"/>
                <w:sz w:val="22"/>
                <w:lang w:val="en-US" w:eastAsia="zh-CN"/>
              </w:rPr>
              <w:t xml:space="preserve">     珠海华发物业</w:t>
            </w:r>
            <w:r>
              <w:rPr>
                <w:rFonts w:ascii="Times New Roman"/>
                <w:sz w:val="22"/>
              </w:rPr>
              <w:t>[</w:t>
            </w:r>
            <w:r>
              <w:rPr>
                <w:rFonts w:hint="eastAsia" w:ascii="Times New Roman"/>
                <w:sz w:val="22"/>
                <w:lang w:val="en-US" w:eastAsia="zh-CN"/>
              </w:rPr>
              <w:t>0</w:t>
            </w:r>
            <w:r>
              <w:rPr>
                <w:rFonts w:ascii="Times New Roman"/>
                <w:sz w:val="22"/>
              </w:rPr>
              <w:t>%]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right="0" w:rightChars="0"/>
              <w:jc w:val="left"/>
              <w:rPr>
                <w:rFonts w:hint="eastAsia" w:ascii="Times New Roman"/>
                <w:sz w:val="22"/>
                <w:lang w:val="en-US" w:eastAsia="zh-CN"/>
              </w:rPr>
            </w:pP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right="0" w:rightChars="0"/>
              <w:jc w:val="left"/>
              <w:rPr>
                <w:rFonts w:hint="eastAsia" w:ascii="Times New Roman"/>
                <w:sz w:val="22"/>
                <w:lang w:val="en-US" w:eastAsia="zh-CN"/>
              </w:rPr>
            </w:pPr>
            <w:r>
              <w:rPr>
                <w:rFonts w:hint="eastAsia" w:ascii="Times New Roman"/>
                <w:sz w:val="22"/>
                <w:lang w:val="en-US" w:eastAsia="zh-CN"/>
              </w:rPr>
              <w:t>相关商品市场二：商品住宅地产</w:t>
            </w:r>
            <w:bookmarkStart w:id="0" w:name="_GoBack"/>
            <w:bookmarkEnd w:id="0"/>
            <w:r>
              <w:rPr>
                <w:rFonts w:hint="eastAsia" w:ascii="Times New Roman"/>
                <w:sz w:val="22"/>
                <w:lang w:val="en-US" w:eastAsia="zh-CN"/>
              </w:rPr>
              <w:t>开发和销售市场；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right="0" w:rightChar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1"/>
                <w:szCs w:val="21"/>
                <w:lang w:val="en-US" w:eastAsia="zh-CN" w:bidi="ar"/>
              </w:rPr>
              <w:t>相关地域市场：西安市；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right="0" w:rightChars="0"/>
              <w:jc w:val="left"/>
              <w:rPr>
                <w:rFonts w:hint="default" w:ascii="Times New Roman"/>
                <w:sz w:val="22"/>
                <w:lang w:val="en-US" w:eastAsia="zh-CN"/>
              </w:rPr>
            </w:pPr>
            <w:r>
              <w:drawing>
                <wp:anchor distT="0" distB="0" distL="114300" distR="114300" simplePos="0" relativeHeight="251659264" behindDoc="1" locked="0" layoutInCell="1" allowOverlap="1">
                  <wp:simplePos x="0" y="0"/>
                  <wp:positionH relativeFrom="column">
                    <wp:posOffset>2665095</wp:posOffset>
                  </wp:positionH>
                  <wp:positionV relativeFrom="paragraph">
                    <wp:posOffset>191135</wp:posOffset>
                  </wp:positionV>
                  <wp:extent cx="1574800" cy="1605915"/>
                  <wp:effectExtent l="0" t="0" r="6350" b="13335"/>
                  <wp:wrapNone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rcRect l="27608" t="5646" r="24745" b="184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4800" cy="1605915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  <a:effectLst>
                            <a:outerShdw blurRad="1270000" dist="50800" dir="5400000" algn="ctr" rotWithShape="0">
                              <a:srgbClr val="000000">
                                <a:alpha val="0"/>
                              </a:srgbClr>
                            </a:outerShdw>
                          </a:effectLst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1"/>
                <w:szCs w:val="21"/>
                <w:lang w:val="en-US" w:eastAsia="zh-CN" w:bidi="ar"/>
              </w:rPr>
              <w:t>市场份额：西安融创物业</w:t>
            </w:r>
            <w:r>
              <w:rPr>
                <w:rFonts w:ascii="Times New Roman"/>
                <w:sz w:val="22"/>
              </w:rPr>
              <w:t>[</w:t>
            </w:r>
            <w:r>
              <w:rPr>
                <w:rFonts w:hint="eastAsia" w:ascii="Times New Roman"/>
                <w:sz w:val="22"/>
                <w:lang w:val="en-US" w:eastAsia="zh-CN"/>
              </w:rPr>
              <w:t>5.65</w:t>
            </w:r>
            <w:r>
              <w:rPr>
                <w:rFonts w:ascii="Times New Roman"/>
                <w:sz w:val="22"/>
              </w:rPr>
              <w:t>%]</w:t>
            </w:r>
            <w:r>
              <w:rPr>
                <w:rFonts w:hint="eastAsia" w:ascii="Times New Roman"/>
                <w:sz w:val="22"/>
                <w:lang w:val="en-US" w:eastAsia="zh-CN"/>
              </w:rPr>
              <w:t xml:space="preserve">     珠海华发物业</w:t>
            </w:r>
            <w:r>
              <w:rPr>
                <w:rFonts w:ascii="Times New Roman"/>
                <w:sz w:val="22"/>
              </w:rPr>
              <w:t>[</w:t>
            </w:r>
            <w:r>
              <w:rPr>
                <w:rFonts w:hint="eastAsia" w:ascii="Times New Roman"/>
                <w:sz w:val="22"/>
                <w:lang w:val="en-US" w:eastAsia="zh-CN"/>
              </w:rPr>
              <w:t>0.22</w:t>
            </w:r>
            <w:r>
              <w:rPr>
                <w:rFonts w:ascii="Times New Roman"/>
                <w:sz w:val="22"/>
              </w:rPr>
              <w:t>%]</w:t>
            </w:r>
          </w:p>
          <w:p>
            <w:pPr>
              <w:pStyle w:val="8"/>
              <w:spacing w:line="500" w:lineRule="exact"/>
              <w:ind w:left="0" w:leftChars="0" w:right="94" w:firstLine="0" w:firstLineChars="0"/>
              <w:rPr>
                <w:sz w:val="22"/>
              </w:rPr>
            </w:pPr>
          </w:p>
        </w:tc>
      </w:tr>
    </w:tbl>
    <w:p>
      <w:pPr>
        <w:pStyle w:val="2"/>
        <w:spacing w:before="7"/>
        <w:rPr>
          <w:rFonts w:ascii="黑体"/>
          <w:sz w:val="14"/>
        </w:rPr>
      </w:pPr>
    </w:p>
    <w:p/>
    <w:p/>
    <w:sectPr>
      <w:footerReference r:id="rId3" w:type="default"/>
      <w:pgSz w:w="11910" w:h="16840"/>
      <w:pgMar w:top="1420" w:right="1340" w:bottom="1380" w:left="1580" w:header="0" w:footer="1195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fmt="decimal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MS UI Gothic">
    <w:panose1 w:val="020B0600070205080204"/>
    <w:charset w:val="80"/>
    <w:family w:val="swiss"/>
    <w:pitch w:val="default"/>
    <w:sig w:usb0="E00002FF" w:usb1="6AC7FDFB" w:usb2="08000012" w:usb3="00000000" w:csb0="4002009F" w:csb1="DFD70000"/>
  </w:font>
  <w:font w:name="Wingdings 2">
    <w:altName w:val="Wingdings"/>
    <w:panose1 w:val="050201020105070707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  <w:spacing w:line="14" w:lineRule="auto"/>
      <w:rPr>
        <w:sz w:val="20"/>
      </w:rPr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bordersDoNotSurroundHeader w:val="0"/>
  <w:bordersDoNotSurroundFooter w:val="0"/>
  <w:trackRevisions w:val="1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compat>
    <w:ulTrailSpace/>
    <w:doNotExpandShiftReturn/>
    <w:doNotWrapTextWithPunct/>
    <w:doNotUseEastAsianBreakRules/>
    <w:useFELayout/>
    <w:doNotUseIndentAsNumberingTabStop/>
    <w:useAltKinsokuLineBreakRules/>
    <w:compatSetting w:name="compatibilityMode" w:uri="http://schemas.microsoft.com/office/word" w:val="12"/>
  </w:compat>
  <w:rsids>
    <w:rsidRoot w:val="00000000"/>
    <w:rsid w:val="01EF0E4B"/>
    <w:rsid w:val="03FE546B"/>
    <w:rsid w:val="06BC22B6"/>
    <w:rsid w:val="0A783E40"/>
    <w:rsid w:val="0B384F43"/>
    <w:rsid w:val="18EF35A0"/>
    <w:rsid w:val="26876BD8"/>
    <w:rsid w:val="26FB5A88"/>
    <w:rsid w:val="2A9D06B5"/>
    <w:rsid w:val="2D2F311F"/>
    <w:rsid w:val="31C06C0E"/>
    <w:rsid w:val="36EE2519"/>
    <w:rsid w:val="3C0A2344"/>
    <w:rsid w:val="413C2DA9"/>
    <w:rsid w:val="4BFE1E16"/>
    <w:rsid w:val="4D0E3316"/>
    <w:rsid w:val="4F24005D"/>
    <w:rsid w:val="53EE1523"/>
    <w:rsid w:val="55ED40BE"/>
    <w:rsid w:val="582F267B"/>
    <w:rsid w:val="5A434E89"/>
    <w:rsid w:val="5E52321E"/>
    <w:rsid w:val="5EDB1EBD"/>
    <w:rsid w:val="6369451C"/>
    <w:rsid w:val="67845C05"/>
    <w:rsid w:val="696C73A6"/>
    <w:rsid w:val="6AC74734"/>
    <w:rsid w:val="6C1605EB"/>
    <w:rsid w:val="703D3FA9"/>
    <w:rsid w:val="725D7DB0"/>
    <w:rsid w:val="7EF12AF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宋体" w:hAnsi="宋体" w:eastAsia="宋体" w:cs="宋体"/>
      <w:sz w:val="22"/>
      <w:szCs w:val="22"/>
      <w:lang w:val="zh-CN" w:eastAsia="zh-CN" w:bidi="zh-CN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1"/>
    <w:rPr>
      <w:rFonts w:ascii="宋体" w:hAnsi="宋体" w:eastAsia="宋体" w:cs="宋体"/>
      <w:sz w:val="22"/>
      <w:szCs w:val="22"/>
      <w:lang w:val="zh-CN" w:eastAsia="zh-CN" w:bidi="zh-CN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customStyle="1" w:styleId="6">
    <w:name w:val="Table Normal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7">
    <w:name w:val="List Paragraph"/>
    <w:basedOn w:val="1"/>
    <w:qFormat/>
    <w:uiPriority w:val="1"/>
    <w:rPr>
      <w:lang w:val="zh-CN" w:eastAsia="zh-CN" w:bidi="zh-CN"/>
    </w:rPr>
  </w:style>
  <w:style w:type="paragraph" w:customStyle="1" w:styleId="8">
    <w:name w:val="Table Paragraph"/>
    <w:basedOn w:val="1"/>
    <w:qFormat/>
    <w:uiPriority w:val="1"/>
    <w:pPr>
      <w:ind w:left="108"/>
    </w:pPr>
    <w:rPr>
      <w:rFonts w:ascii="仿宋" w:hAnsi="仿宋" w:eastAsia="仿宋" w:cs="仿宋"/>
      <w:lang w:val="zh-CN" w:eastAsia="zh-CN" w:bidi="zh-CN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ScaleCrop>false</ScaleCrop>
  <LinksUpToDate>false</LinksUpToDate>
  <Application>WPS Office_11.1.0.10314_F1E327BC-269C-435d-A152-05C5408002CA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2021-02-03T08:09:00Z</dcterms:created>
  <dc:creator>dell</dc:creator>
  <cp:lastModifiedBy>Administrator</cp:lastModifiedBy>
  <cp:lastPrinted>2021-03-16T08:06:00Z</cp:lastPrinted>
  <dcterms:modified xsi:type="dcterms:W3CDTF">2021-04-07T14:47:26Z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2020-04-16T00:00:00Z</vt:filetime>
  </property>
  <property fmtid="{D5CDD505-2E9C-101B-9397-08002B2CF9AE}" pid="3" name="Creator">
    <vt:lpwstr>WPS 文字</vt:lpwstr>
  </property>
  <property fmtid="{D5CDD505-2E9C-101B-9397-08002B2CF9AE}" pid="4" name="LastSaved">
    <vt:filetime>2021-02-03T00:00:00Z</vt:filetime>
  </property>
  <property fmtid="{D5CDD505-2E9C-101B-9397-08002B2CF9AE}" pid="5" name="KSOProductBuildVer">
    <vt:lpwstr>2052-11.1.0.10314</vt:lpwstr>
  </property>
  <property fmtid="{D5CDD505-2E9C-101B-9397-08002B2CF9AE}" pid="6" name="ICV">
    <vt:lpwstr>F5696EC0860D423E937F40D7D9228AB7</vt:lpwstr>
  </property>
</Properties>
</file>