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bookmarkStart w:id="0" w:name="OLE_LINK21"/>
      <w:bookmarkStart w:id="1" w:name="OLE_LINK22"/>
      <w:r>
        <w:rPr>
          <w:rFonts w:hint="eastAsia" w:ascii="黑体" w:hAnsi="Times New Roman" w:eastAsia="黑体"/>
          <w:sz w:val="30"/>
          <w:szCs w:val="30"/>
        </w:rPr>
        <w:t>经营者集中简易案件公示表</w:t>
      </w:r>
    </w:p>
    <w:bookmarkEnd w:id="0"/>
    <w:bookmarkEnd w:id="1"/>
    <w:p>
      <w:pPr>
        <w:spacing w:line="440" w:lineRule="exact"/>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widowControl/>
              <w:snapToGrid w:val="0"/>
              <w:jc w:val="left"/>
              <w:rPr>
                <w:rFonts w:ascii="仿宋" w:hAnsi="仿宋" w:eastAsia="仿宋"/>
                <w:color w:val="333333"/>
                <w:kern w:val="0"/>
                <w:sz w:val="24"/>
                <w:szCs w:val="24"/>
              </w:rPr>
            </w:pPr>
            <w:r>
              <w:rPr>
                <w:rFonts w:hint="eastAsia" w:ascii="仿宋" w:hAnsi="仿宋" w:eastAsia="仿宋" w:cs="宋体"/>
                <w:color w:val="333333"/>
                <w:kern w:val="0"/>
                <w:sz w:val="24"/>
                <w:szCs w:val="24"/>
              </w:rPr>
              <w:t>三菱开发有限公司收购奥鲁昆铝土矿项目资产案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widowControl/>
              <w:snapToGrid w:val="0"/>
              <w:jc w:val="left"/>
              <w:rPr>
                <w:rFonts w:ascii="仿宋" w:hAnsi="仿宋" w:eastAsia="仿宋"/>
                <w:color w:val="333333"/>
                <w:kern w:val="0"/>
                <w:sz w:val="24"/>
                <w:szCs w:val="24"/>
              </w:rPr>
            </w:pPr>
            <w:r>
              <w:rPr>
                <w:rFonts w:hint="eastAsia" w:ascii="仿宋" w:hAnsi="仿宋" w:eastAsia="仿宋" w:cs="宋体"/>
                <w:color w:val="333333"/>
                <w:kern w:val="0"/>
                <w:sz w:val="24"/>
                <w:szCs w:val="24"/>
              </w:rPr>
              <w:t>三菱开发有限公司（“三菱开发”）将通过其澳大利亚子公司“三菱开发铝土矿有限公司”，从嘉能可股份有限公司（“嘉能可”）位于澳大利亚的全资子公司“嘉能可铝土矿资源有限公司”收购其位于澳大利亚的奥鲁昆铝土矿项目基础资产30%未分割权益。交易后，奥鲁昆铝土矿项目将由嘉能可铝土矿资源有限公司（持70%权益）和三菱开发铝土矿有限公司（持30%权益）共同持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1、三菱开发</w:t>
            </w:r>
          </w:p>
        </w:tc>
        <w:tc>
          <w:tcPr>
            <w:tcW w:w="5153" w:type="dxa"/>
          </w:tcPr>
          <w:p>
            <w:pPr>
              <w:widowControl/>
              <w:snapToGrid w:val="0"/>
              <w:jc w:val="lef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三菱开发是三菱商事为经营在澳大利亚的矿产资源产业而在澳大利亚设立的投资公司。三菱商事是在东京证券交易所上市的日本公司（TYO：8058）。三菱开发直接或间接持有多个澳大利亚矿产资源项目的收益。</w:t>
            </w:r>
            <w:bookmarkStart w:id="2" w:name="_GoBack"/>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2、嘉能可</w:t>
            </w:r>
          </w:p>
        </w:tc>
        <w:tc>
          <w:tcPr>
            <w:tcW w:w="5153" w:type="dxa"/>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嘉能可在泽西注册成立，总部位于瑞士，在伦敦证交所和约翰内斯堡证券交易所上市。嘉能可及其关联公司（嘉能可集团）是全球多元化的自然资源公司，生产和销售60多种商品，直接或间接经营的业务包括约150个采矿和冶金厂以及石油生产资产。嘉能可集团为世界各地的汽车、钢铁、电力、电池制造和石油行业的工业客户提供各种商品和原材料，包括金属、矿产、石油和石油产品、煤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ascii="Wingdings" w:hAnsi="Wingdings"/>
                <w:szCs w:val="21"/>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ascii="Wingdings" w:hAnsi="Wingdings"/>
                <w:szCs w:val="21"/>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41"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相关市场为以下市场：</w:t>
            </w:r>
          </w:p>
          <w:p>
            <w:pPr>
              <w:pStyle w:val="10"/>
              <w:numPr>
                <w:ilvl w:val="0"/>
                <w:numId w:val="1"/>
              </w:numPr>
              <w:spacing w:line="500" w:lineRule="exact"/>
              <w:ind w:firstLineChars="0"/>
              <w:rPr>
                <w:rFonts w:ascii="仿宋" w:hAnsi="仿宋" w:eastAsia="仿宋" w:cs="宋体"/>
                <w:color w:val="333333"/>
                <w:kern w:val="0"/>
                <w:sz w:val="24"/>
              </w:rPr>
            </w:pPr>
            <w:r>
              <w:rPr>
                <w:rFonts w:hint="eastAsia" w:ascii="仿宋" w:hAnsi="仿宋" w:eastAsia="仿宋" w:cs="宋体"/>
                <w:color w:val="333333"/>
                <w:kern w:val="0"/>
                <w:sz w:val="24"/>
              </w:rPr>
              <w:t>铝土矿全球市场；</w:t>
            </w:r>
          </w:p>
          <w:p>
            <w:pPr>
              <w:pStyle w:val="10"/>
              <w:numPr>
                <w:ilvl w:val="0"/>
                <w:numId w:val="1"/>
              </w:numPr>
              <w:spacing w:line="500" w:lineRule="exact"/>
              <w:ind w:firstLineChars="0"/>
              <w:rPr>
                <w:rFonts w:ascii="仿宋" w:hAnsi="仿宋" w:eastAsia="仿宋" w:cs="宋体"/>
                <w:color w:val="333333"/>
                <w:kern w:val="0"/>
                <w:sz w:val="24"/>
              </w:rPr>
            </w:pPr>
            <w:r>
              <w:rPr>
                <w:rFonts w:hint="eastAsia" w:ascii="仿宋" w:hAnsi="仿宋" w:eastAsia="仿宋" w:cs="宋体"/>
                <w:color w:val="333333"/>
                <w:kern w:val="0"/>
                <w:sz w:val="24"/>
              </w:rPr>
              <w:t>氧化铝中国市场。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各方市场份额估算值如下表：</w:t>
            </w:r>
          </w:p>
          <w:tbl>
            <w:tblPr>
              <w:tblStyle w:val="6"/>
              <w:tblW w:w="6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5"/>
              <w:gridCol w:w="1612"/>
              <w:gridCol w:w="878"/>
              <w:gridCol w:w="1176"/>
              <w:gridCol w:w="1176"/>
              <w:gridCol w:w="1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9" w:hRule="atLeast"/>
              </w:trPr>
              <w:tc>
                <w:tcPr>
                  <w:tcW w:w="405" w:type="dxa"/>
                  <w:shd w:val="clear" w:color="auto" w:fill="auto"/>
                </w:tcPr>
                <w:p>
                  <w:pPr>
                    <w:widowControl/>
                    <w:snapToGrid w:val="0"/>
                    <w:jc w:val="left"/>
                    <w:rPr>
                      <w:rFonts w:ascii="仿宋" w:hAnsi="仿宋" w:eastAsia="仿宋" w:cs="宋体"/>
                      <w:color w:val="333333"/>
                      <w:kern w:val="0"/>
                      <w:sz w:val="24"/>
                      <w:szCs w:val="24"/>
                    </w:rPr>
                  </w:pPr>
                </w:p>
              </w:tc>
              <w:tc>
                <w:tcPr>
                  <w:tcW w:w="1612" w:type="dxa"/>
                  <w:shd w:val="clear" w:color="auto" w:fill="auto"/>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产品市场</w:t>
                  </w:r>
                </w:p>
              </w:tc>
              <w:tc>
                <w:tcPr>
                  <w:tcW w:w="878" w:type="dxa"/>
                  <w:shd w:val="clear" w:color="auto" w:fill="auto"/>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地域市场</w:t>
                  </w:r>
                </w:p>
              </w:tc>
              <w:tc>
                <w:tcPr>
                  <w:tcW w:w="1176" w:type="dxa"/>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嘉能可市场份额</w:t>
                  </w:r>
                </w:p>
              </w:tc>
              <w:tc>
                <w:tcPr>
                  <w:tcW w:w="1176" w:type="dxa"/>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三菱集团市场份额</w:t>
                  </w:r>
                </w:p>
              </w:tc>
              <w:tc>
                <w:tcPr>
                  <w:tcW w:w="1453" w:type="dxa"/>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奥鲁昆铝土矿项目预计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05" w:type="dxa"/>
                  <w:shd w:val="clear" w:color="auto" w:fill="auto"/>
                </w:tcPr>
                <w:p>
                  <w:pPr>
                    <w:widowControl/>
                    <w:numPr>
                      <w:ilvl w:val="0"/>
                      <w:numId w:val="2"/>
                    </w:numPr>
                    <w:snapToGrid w:val="0"/>
                    <w:jc w:val="left"/>
                    <w:rPr>
                      <w:rFonts w:ascii="仿宋" w:hAnsi="仿宋" w:eastAsia="仿宋" w:cs="宋体"/>
                      <w:color w:val="333333"/>
                      <w:kern w:val="0"/>
                      <w:sz w:val="24"/>
                      <w:szCs w:val="24"/>
                    </w:rPr>
                  </w:pPr>
                </w:p>
              </w:tc>
              <w:tc>
                <w:tcPr>
                  <w:tcW w:w="1612" w:type="dxa"/>
                  <w:shd w:val="clear" w:color="auto" w:fill="auto"/>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铝土矿</w:t>
                  </w:r>
                </w:p>
              </w:tc>
              <w:tc>
                <w:tcPr>
                  <w:tcW w:w="878" w:type="dxa"/>
                  <w:shd w:val="clear" w:color="auto" w:fill="auto"/>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全球</w:t>
                  </w:r>
                </w:p>
              </w:tc>
              <w:tc>
                <w:tcPr>
                  <w:tcW w:w="1176" w:type="dxa"/>
                </w:tcPr>
                <w:p>
                  <w:pPr>
                    <w:widowControl/>
                    <w:snapToGrid w:val="0"/>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c>
                <w:tcPr>
                  <w:tcW w:w="1176" w:type="dxa"/>
                </w:tcPr>
                <w:p>
                  <w:pPr>
                    <w:widowControl/>
                    <w:snapToGrid w:val="0"/>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c>
                <w:tcPr>
                  <w:tcW w:w="1453" w:type="dxa"/>
                </w:tcPr>
                <w:p>
                  <w:pPr>
                    <w:widowControl/>
                    <w:snapToGrid w:val="0"/>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05" w:type="dxa"/>
                  <w:shd w:val="clear" w:color="auto" w:fill="auto"/>
                </w:tcPr>
                <w:p>
                  <w:pPr>
                    <w:widowControl/>
                    <w:numPr>
                      <w:ilvl w:val="0"/>
                      <w:numId w:val="2"/>
                    </w:numPr>
                    <w:snapToGrid w:val="0"/>
                    <w:jc w:val="left"/>
                    <w:rPr>
                      <w:rFonts w:ascii="仿宋" w:hAnsi="仿宋" w:eastAsia="仿宋" w:cs="宋体"/>
                      <w:color w:val="333333"/>
                      <w:kern w:val="0"/>
                      <w:sz w:val="24"/>
                      <w:szCs w:val="24"/>
                    </w:rPr>
                  </w:pPr>
                </w:p>
              </w:tc>
              <w:tc>
                <w:tcPr>
                  <w:tcW w:w="1612" w:type="dxa"/>
                  <w:shd w:val="clear" w:color="auto" w:fill="auto"/>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氧化铝</w:t>
                  </w:r>
                </w:p>
              </w:tc>
              <w:tc>
                <w:tcPr>
                  <w:tcW w:w="878" w:type="dxa"/>
                  <w:shd w:val="clear" w:color="auto" w:fill="auto"/>
                </w:tcPr>
                <w:p>
                  <w:pPr>
                    <w:widowControl/>
                    <w:snapToGrid w:val="0"/>
                    <w:jc w:val="lef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w:t>
                  </w:r>
                </w:p>
              </w:tc>
              <w:tc>
                <w:tcPr>
                  <w:tcW w:w="1176" w:type="dxa"/>
                </w:tcPr>
                <w:p>
                  <w:pPr>
                    <w:widowControl/>
                    <w:snapToGrid w:val="0"/>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c>
                <w:tcPr>
                  <w:tcW w:w="1176" w:type="dxa"/>
                </w:tcPr>
                <w:p>
                  <w:pPr>
                    <w:widowControl/>
                    <w:snapToGrid w:val="0"/>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w:t>
                  </w:r>
                </w:p>
              </w:tc>
              <w:tc>
                <w:tcPr>
                  <w:tcW w:w="1453" w:type="dxa"/>
                </w:tcPr>
                <w:p>
                  <w:pPr>
                    <w:widowControl/>
                    <w:snapToGrid w:val="0"/>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p>
              </w:tc>
            </w:tr>
          </w:tbl>
          <w:p>
            <w:pPr>
              <w:spacing w:line="500" w:lineRule="exact"/>
              <w:rPr>
                <w:rFonts w:ascii="仿宋" w:hAnsi="仿宋" w:eastAsia="仿宋" w:cs="宋体"/>
                <w:color w:val="333333"/>
                <w:kern w:val="0"/>
                <w:sz w:val="24"/>
                <w:szCs w:val="24"/>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w:panose1 w:val="05000000000000000000"/>
    <w:charset w:val="00"/>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02D11"/>
    <w:multiLevelType w:val="multilevel"/>
    <w:tmpl w:val="0EB02D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9D1650"/>
    <w:multiLevelType w:val="multilevel"/>
    <w:tmpl w:val="599D1650"/>
    <w:lvl w:ilvl="0" w:tentative="0">
      <w:start w:val="1"/>
      <w:numFmt w:val="decimal"/>
      <w:lvlText w:val="（%1）"/>
      <w:lvlJc w:val="left"/>
      <w:pPr>
        <w:ind w:left="1080" w:hanging="10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1D8"/>
    <w:rsid w:val="0004017E"/>
    <w:rsid w:val="000577BF"/>
    <w:rsid w:val="000913B4"/>
    <w:rsid w:val="0009396F"/>
    <w:rsid w:val="000C3683"/>
    <w:rsid w:val="00113504"/>
    <w:rsid w:val="00121DC6"/>
    <w:rsid w:val="00133132"/>
    <w:rsid w:val="0019002F"/>
    <w:rsid w:val="00196352"/>
    <w:rsid w:val="00196884"/>
    <w:rsid w:val="00226B92"/>
    <w:rsid w:val="00251352"/>
    <w:rsid w:val="002608D4"/>
    <w:rsid w:val="002B7447"/>
    <w:rsid w:val="002E08EB"/>
    <w:rsid w:val="002F0367"/>
    <w:rsid w:val="002F5B26"/>
    <w:rsid w:val="00300B5F"/>
    <w:rsid w:val="0031014D"/>
    <w:rsid w:val="00335C92"/>
    <w:rsid w:val="00375F80"/>
    <w:rsid w:val="003B6DCA"/>
    <w:rsid w:val="003F13F5"/>
    <w:rsid w:val="00405AD4"/>
    <w:rsid w:val="00461404"/>
    <w:rsid w:val="004D542B"/>
    <w:rsid w:val="004E6CE4"/>
    <w:rsid w:val="004F38BD"/>
    <w:rsid w:val="00506FB1"/>
    <w:rsid w:val="00546C27"/>
    <w:rsid w:val="00570FB6"/>
    <w:rsid w:val="005F16CC"/>
    <w:rsid w:val="00642ACD"/>
    <w:rsid w:val="0064728F"/>
    <w:rsid w:val="006840B0"/>
    <w:rsid w:val="006B5D01"/>
    <w:rsid w:val="006C6A81"/>
    <w:rsid w:val="00734CF6"/>
    <w:rsid w:val="00786B46"/>
    <w:rsid w:val="007B76E0"/>
    <w:rsid w:val="007C0B3F"/>
    <w:rsid w:val="007C2CC3"/>
    <w:rsid w:val="007D7E3A"/>
    <w:rsid w:val="00800E59"/>
    <w:rsid w:val="0082263A"/>
    <w:rsid w:val="008441D8"/>
    <w:rsid w:val="00855CA6"/>
    <w:rsid w:val="008707D0"/>
    <w:rsid w:val="00873C3E"/>
    <w:rsid w:val="008817C1"/>
    <w:rsid w:val="008A537D"/>
    <w:rsid w:val="008E178A"/>
    <w:rsid w:val="00994AE9"/>
    <w:rsid w:val="009963D4"/>
    <w:rsid w:val="009A77EC"/>
    <w:rsid w:val="009E1175"/>
    <w:rsid w:val="00A40390"/>
    <w:rsid w:val="00A501FD"/>
    <w:rsid w:val="00A53FE7"/>
    <w:rsid w:val="00AD12D1"/>
    <w:rsid w:val="00B46D56"/>
    <w:rsid w:val="00B5680D"/>
    <w:rsid w:val="00B63D16"/>
    <w:rsid w:val="00B75CB7"/>
    <w:rsid w:val="00BA6769"/>
    <w:rsid w:val="00BC2A54"/>
    <w:rsid w:val="00BE25F2"/>
    <w:rsid w:val="00BE427D"/>
    <w:rsid w:val="00BE5567"/>
    <w:rsid w:val="00C201C3"/>
    <w:rsid w:val="00C41D80"/>
    <w:rsid w:val="00D0413E"/>
    <w:rsid w:val="00D47504"/>
    <w:rsid w:val="00D61897"/>
    <w:rsid w:val="00DC0E12"/>
    <w:rsid w:val="00DC2B90"/>
    <w:rsid w:val="00E02524"/>
    <w:rsid w:val="00E42423"/>
    <w:rsid w:val="00E70C75"/>
    <w:rsid w:val="00E75F12"/>
    <w:rsid w:val="00EE23E0"/>
    <w:rsid w:val="00F11AEA"/>
    <w:rsid w:val="00F53465"/>
    <w:rsid w:val="00FA6F66"/>
    <w:rsid w:val="00FB1660"/>
    <w:rsid w:val="00FB2BF1"/>
    <w:rsid w:val="0F676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paragraph" w:styleId="3">
    <w:name w:val="footer"/>
    <w:basedOn w:val="1"/>
    <w:link w:val="9"/>
    <w:unhideWhenUsed/>
    <w:qFormat/>
    <w:uiPriority w:val="99"/>
    <w:pPr>
      <w:tabs>
        <w:tab w:val="center" w:pos="4513"/>
        <w:tab w:val="right" w:pos="9026"/>
      </w:tabs>
    </w:pPr>
  </w:style>
  <w:style w:type="paragraph" w:styleId="4">
    <w:name w:val="header"/>
    <w:basedOn w:val="1"/>
    <w:link w:val="8"/>
    <w:unhideWhenUsed/>
    <w:uiPriority w:val="99"/>
    <w:pPr>
      <w:tabs>
        <w:tab w:val="center" w:pos="4513"/>
        <w:tab w:val="right" w:pos="9026"/>
      </w:tabs>
    </w:pPr>
  </w:style>
  <w:style w:type="character" w:customStyle="1" w:styleId="7">
    <w:name w:val="批注框文本 字符"/>
    <w:basedOn w:val="5"/>
    <w:link w:val="2"/>
    <w:semiHidden/>
    <w:uiPriority w:val="99"/>
    <w:rPr>
      <w:rFonts w:ascii="Calibri" w:hAnsi="Calibri" w:eastAsia="宋体" w:cs="Times New Roman"/>
      <w:sz w:val="18"/>
      <w:szCs w:val="18"/>
    </w:rPr>
  </w:style>
  <w:style w:type="character" w:customStyle="1" w:styleId="8">
    <w:name w:val="页眉 字符"/>
    <w:basedOn w:val="5"/>
    <w:link w:val="4"/>
    <w:uiPriority w:val="99"/>
    <w:rPr>
      <w:rFonts w:ascii="Calibri" w:hAnsi="Calibri" w:eastAsia="宋体" w:cs="Times New Roman"/>
    </w:rPr>
  </w:style>
  <w:style w:type="character" w:customStyle="1" w:styleId="9">
    <w:name w:val="页脚 字符"/>
    <w:basedOn w:val="5"/>
    <w:link w:val="3"/>
    <w:qFormat/>
    <w:uiPriority w:val="99"/>
    <w:rPr>
      <w:rFonts w:ascii="Calibri" w:hAnsi="Calibri" w:eastAsia="宋体" w:cs="Times New Roman"/>
    </w:rPr>
  </w:style>
  <w:style w:type="paragraph" w:styleId="10">
    <w:name w:val="List Paragraph"/>
    <w:basedOn w:val="1"/>
    <w:qFormat/>
    <w:uiPriority w:val="34"/>
    <w:pPr>
      <w:ind w:firstLine="420" w:firstLineChars="200"/>
    </w:pPr>
    <w:rPr>
      <w:rFonts w:ascii="Times New Roman" w:hAnsi="Times New Roman"/>
      <w:szCs w:val="24"/>
    </w:rPr>
  </w:style>
  <w:style w:type="paragraph" w:customStyle="1" w:styleId="11">
    <w:name w:val="ordinary-output"/>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2">
    <w:name w:val="high-light-bg"/>
    <w:basedOn w:val="5"/>
    <w:uiPriority w:val="0"/>
  </w:style>
  <w:style w:type="paragraph" w:customStyle="1" w:styleId="13">
    <w:name w:val="Revision"/>
    <w:hidden/>
    <w:semiHidden/>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159</Words>
  <Characters>912</Characters>
  <Lines>7</Lines>
  <Paragraphs>2</Paragraphs>
  <TotalTime>5</TotalTime>
  <ScaleCrop>false</ScaleCrop>
  <LinksUpToDate>false</LinksUpToDate>
  <CharactersWithSpaces>1069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2021-04-15T03:05:00Z</dcterms:created>
  <dc:creator>Lenovo</dc:creator>
  <cp:lastModifiedBy>Lenovo</cp:lastModifiedBy>
  <dcterms:modified xsi:type="dcterms:W3CDTF">2021-04-16T07:23:20Z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657384909.01</vt:lpwstr>
  </property>
  <property fmtid="{D5CDD505-2E9C-101B-9397-08002B2CF9AE}" pid="3" name="ashurstDocRef">
    <vt:lpwstr>  657384909.01</vt:lpwstr>
  </property>
  <property fmtid="{D5CDD505-2E9C-101B-9397-08002B2CF9AE}" pid="4" name="KSOProductBuildVer">
    <vt:lpwstr>2052-10.8.2.7129</vt:lpwstr>
  </property>
</Properties>
</file>