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3F0527D" w14:textId="77777777" w:rsidR="009961A0" w:rsidRPr="009961A0" w:rsidRDefault="009961A0" w:rsidP="009961A0">
      <w:pPr>
        <w:widowControl w:val="0"/>
        <w:spacing w:after="0" w:line="440" w:lineRule="exact"/>
        <w:jc w:val="center"/>
        <w:rPr>
          <w:rFonts w:ascii="Times New Roman" w:eastAsia="华文楷体" w:hAnsi="Times New Roman" w:cs="Times New Roman"/>
          <w:b/>
          <w:kern w:val="2"/>
          <w:sz w:val="24"/>
          <w:szCs w:val="24"/>
        </w:rPr>
      </w:pPr>
      <w:r w:rsidRPr="009961A0">
        <w:rPr>
          <w:rFonts w:ascii="Times New Roman" w:eastAsia="华文楷体" w:hAnsi="Times New Roman" w:cs="Times New Roman"/>
          <w:b/>
          <w:kern w:val="2"/>
          <w:sz w:val="24"/>
          <w:szCs w:val="24"/>
        </w:rPr>
        <w:t>经营者集中简易案件公示表</w:t>
      </w:r>
      <w:bookmarkStart w:id="0" w:name="_GoBack"/>
      <w:bookmarkEnd w:id="0"/>
    </w:p>
    <w:p w14:paraId="359931D8" w14:textId="77777777" w:rsidR="009961A0" w:rsidRPr="009961A0" w:rsidRDefault="009961A0" w:rsidP="009961A0">
      <w:pPr>
        <w:widowControl w:val="0"/>
        <w:spacing w:after="0" w:line="440" w:lineRule="exact"/>
        <w:ind w:firstLineChars="302" w:firstLine="725"/>
        <w:jc w:val="both"/>
        <w:rPr>
          <w:rFonts w:ascii="Times New Roman" w:eastAsia="华文楷体" w:hAnsi="Times New Roman" w:cs="Times New Roman"/>
          <w:kern w:val="2"/>
          <w:sz w:val="24"/>
          <w:szCs w:val="24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9961A0" w:rsidRPr="009961A0" w14:paraId="67B03CF9" w14:textId="77777777" w:rsidTr="000E178B">
        <w:tc>
          <w:tcPr>
            <w:tcW w:w="1809" w:type="dxa"/>
            <w:shd w:val="clear" w:color="auto" w:fill="D9D9D9"/>
          </w:tcPr>
          <w:p w14:paraId="5119FA4B" w14:textId="77777777" w:rsidR="009961A0" w:rsidRPr="009961A0" w:rsidRDefault="009961A0" w:rsidP="009961A0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b/>
                <w:kern w:val="2"/>
                <w:sz w:val="24"/>
                <w:szCs w:val="24"/>
              </w:rPr>
            </w:pPr>
            <w:r w:rsidRPr="009961A0">
              <w:rPr>
                <w:rFonts w:ascii="Times New Roman" w:eastAsia="华文楷体" w:hAnsi="Times New Roman" w:cs="Times New Roman"/>
                <w:b/>
                <w:kern w:val="2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14:paraId="6CA3EC61" w14:textId="77777777" w:rsidR="009961A0" w:rsidRPr="009961A0" w:rsidRDefault="001D54D5" w:rsidP="00AD56DC">
            <w:pPr>
              <w:widowControl w:val="0"/>
              <w:adjustRightInd w:val="0"/>
              <w:snapToGrid w:val="0"/>
              <w:spacing w:after="0" w:line="240" w:lineRule="auto"/>
              <w:jc w:val="both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  <w:r w:rsidRPr="001D54D5">
              <w:rPr>
                <w:rFonts w:eastAsia="华文楷体" w:hint="eastAsia"/>
                <w:sz w:val="24"/>
                <w:szCs w:val="24"/>
              </w:rPr>
              <w:t>魁北克储蓄投资集团和</w:t>
            </w:r>
            <w:r w:rsidRPr="009D5B3E">
              <w:rPr>
                <w:rFonts w:ascii="Times New Roman" w:eastAsia="华文楷体" w:hAnsi="Times New Roman" w:cs="Times New Roman"/>
                <w:sz w:val="24"/>
                <w:szCs w:val="24"/>
              </w:rPr>
              <w:t>DWS</w:t>
            </w:r>
            <w:r w:rsidRPr="001D54D5">
              <w:rPr>
                <w:rFonts w:eastAsia="华文楷体" w:hint="eastAsia"/>
                <w:sz w:val="24"/>
                <w:szCs w:val="24"/>
              </w:rPr>
              <w:t>另类全球有限公司收购尔梅瓦控股公司股权案（“</w:t>
            </w:r>
            <w:r w:rsidRPr="001D54D5">
              <w:rPr>
                <w:rFonts w:eastAsia="华文楷体" w:hint="eastAsia"/>
                <w:b/>
                <w:bCs/>
                <w:sz w:val="24"/>
                <w:szCs w:val="24"/>
              </w:rPr>
              <w:t>本交易</w:t>
            </w:r>
            <w:r w:rsidRPr="001D54D5">
              <w:rPr>
                <w:rFonts w:eastAsia="华文楷体" w:hint="eastAsia"/>
                <w:sz w:val="24"/>
                <w:szCs w:val="24"/>
              </w:rPr>
              <w:t>”）</w:t>
            </w:r>
          </w:p>
        </w:tc>
      </w:tr>
      <w:tr w:rsidR="009961A0" w:rsidRPr="009961A0" w14:paraId="02DF4BD4" w14:textId="77777777" w:rsidTr="000E178B">
        <w:trPr>
          <w:trHeight w:val="993"/>
        </w:trPr>
        <w:tc>
          <w:tcPr>
            <w:tcW w:w="1809" w:type="dxa"/>
            <w:shd w:val="clear" w:color="auto" w:fill="D9D9D9"/>
          </w:tcPr>
          <w:p w14:paraId="6F20007C" w14:textId="77777777" w:rsidR="009961A0" w:rsidRPr="009961A0" w:rsidRDefault="009961A0" w:rsidP="009961A0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b/>
                <w:kern w:val="2"/>
                <w:sz w:val="24"/>
                <w:szCs w:val="24"/>
              </w:rPr>
            </w:pPr>
            <w:r w:rsidRPr="009961A0">
              <w:rPr>
                <w:rFonts w:ascii="Times New Roman" w:eastAsia="华文楷体" w:hAnsi="Times New Roman" w:cs="Times New Roman"/>
                <w:b/>
                <w:kern w:val="2"/>
                <w:sz w:val="24"/>
                <w:szCs w:val="24"/>
              </w:rPr>
              <w:t>交易概况（限</w:t>
            </w:r>
            <w:r w:rsidRPr="009961A0">
              <w:rPr>
                <w:rFonts w:ascii="Times New Roman" w:eastAsia="华文楷体" w:hAnsi="Times New Roman" w:cs="Times New Roman"/>
                <w:b/>
                <w:kern w:val="2"/>
                <w:sz w:val="24"/>
                <w:szCs w:val="24"/>
              </w:rPr>
              <w:t>200</w:t>
            </w:r>
            <w:r w:rsidRPr="009961A0">
              <w:rPr>
                <w:rFonts w:ascii="Times New Roman" w:eastAsia="华文楷体" w:hAnsi="Times New Roman" w:cs="Times New Roman"/>
                <w:b/>
                <w:kern w:val="2"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</w:tcPr>
          <w:p w14:paraId="39BF81B2" w14:textId="77777777" w:rsidR="00DB21B0" w:rsidRPr="00A61A0D" w:rsidRDefault="000831D3" w:rsidP="00296587">
            <w:pPr>
              <w:widowControl w:val="0"/>
              <w:adjustRightInd w:val="0"/>
              <w:snapToGrid w:val="0"/>
              <w:spacing w:after="120"/>
              <w:jc w:val="both"/>
              <w:rPr>
                <w:rFonts w:ascii="Times New Roman" w:eastAsia="华文楷体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本交易涉及</w:t>
            </w:r>
            <w:r w:rsidRPr="001D54D5">
              <w:rPr>
                <w:rFonts w:eastAsia="华文楷体" w:hint="eastAsia"/>
                <w:sz w:val="24"/>
                <w:szCs w:val="24"/>
              </w:rPr>
              <w:t>魁北克储蓄投资集团</w:t>
            </w:r>
            <w:r>
              <w:rPr>
                <w:rFonts w:eastAsia="华文楷体" w:hint="eastAsia"/>
                <w:sz w:val="24"/>
                <w:szCs w:val="24"/>
              </w:rPr>
              <w:t>（“</w:t>
            </w:r>
            <w:r w:rsidRPr="00324360">
              <w:rPr>
                <w:rFonts w:ascii="Times New Roman" w:eastAsia="华文楷体" w:hAnsi="Times New Roman" w:cs="Times New Roman"/>
                <w:b/>
                <w:bCs/>
                <w:sz w:val="24"/>
                <w:szCs w:val="24"/>
              </w:rPr>
              <w:t>CDPQ</w:t>
            </w:r>
            <w:r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>”</w:t>
            </w:r>
            <w:r>
              <w:rPr>
                <w:rFonts w:eastAsia="华文楷体" w:hint="eastAsia"/>
                <w:sz w:val="24"/>
                <w:szCs w:val="24"/>
              </w:rPr>
              <w:t>）</w:t>
            </w:r>
            <w:r w:rsidRPr="001D54D5">
              <w:rPr>
                <w:rFonts w:eastAsia="华文楷体" w:hint="eastAsia"/>
                <w:sz w:val="24"/>
                <w:szCs w:val="24"/>
              </w:rPr>
              <w:t>和</w:t>
            </w:r>
            <w:r w:rsidRPr="009D5B3E">
              <w:rPr>
                <w:rFonts w:ascii="Times New Roman" w:eastAsia="华文楷体" w:hAnsi="Times New Roman" w:cs="Times New Roman"/>
                <w:sz w:val="24"/>
                <w:szCs w:val="24"/>
              </w:rPr>
              <w:t>DWS</w:t>
            </w:r>
            <w:r w:rsidRPr="001D54D5">
              <w:rPr>
                <w:rFonts w:eastAsia="华文楷体" w:hint="eastAsia"/>
                <w:sz w:val="24"/>
                <w:szCs w:val="24"/>
              </w:rPr>
              <w:t>另类全球有限公司</w:t>
            </w:r>
            <w:r>
              <w:rPr>
                <w:rFonts w:eastAsia="华文楷体" w:hint="eastAsia"/>
                <w:sz w:val="24"/>
                <w:szCs w:val="24"/>
              </w:rPr>
              <w:t>（“</w:t>
            </w:r>
            <w:r w:rsidRPr="00324360">
              <w:rPr>
                <w:rFonts w:ascii="Times New Roman" w:eastAsia="华文楷体" w:hAnsi="Times New Roman" w:cs="Times New Roman"/>
                <w:b/>
                <w:bCs/>
                <w:sz w:val="24"/>
                <w:szCs w:val="24"/>
              </w:rPr>
              <w:t>DWS</w:t>
            </w:r>
            <w:r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>”</w:t>
            </w:r>
            <w:r>
              <w:rPr>
                <w:rFonts w:eastAsia="华文楷体" w:hint="eastAsia"/>
                <w:sz w:val="24"/>
                <w:szCs w:val="24"/>
              </w:rPr>
              <w:t>）从</w:t>
            </w:r>
            <w:r w:rsidR="007E025E" w:rsidRPr="00262317">
              <w:rPr>
                <w:rFonts w:ascii="Times New Roman" w:eastAsia="华文楷体" w:hAnsi="Times New Roman" w:cs="Times New Roman"/>
                <w:bCs/>
                <w:sz w:val="24"/>
                <w:szCs w:val="24"/>
              </w:rPr>
              <w:t>Transport et Logistique Partenaires</w:t>
            </w:r>
            <w:r w:rsidR="007E025E" w:rsidRPr="00262317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 xml:space="preserve"> </w:t>
            </w:r>
            <w:r w:rsidR="007E025E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公司（“</w:t>
            </w:r>
            <w:r w:rsidR="007E025E" w:rsidRPr="00262317">
              <w:rPr>
                <w:rFonts w:ascii="Times New Roman" w:eastAsia="华文楷体" w:hAnsi="Times New Roman" w:cs="Times New Roman" w:hint="eastAsia"/>
                <w:b/>
                <w:sz w:val="24"/>
                <w:szCs w:val="24"/>
              </w:rPr>
              <w:t>T</w:t>
            </w:r>
            <w:r w:rsidR="007E025E" w:rsidRPr="00262317">
              <w:rPr>
                <w:rFonts w:ascii="Times New Roman" w:eastAsia="华文楷体" w:hAnsi="Times New Roman" w:cs="Times New Roman"/>
                <w:b/>
                <w:sz w:val="24"/>
                <w:szCs w:val="24"/>
              </w:rPr>
              <w:t>LP</w:t>
            </w:r>
            <w:r w:rsidR="007E025E" w:rsidRPr="00262317">
              <w:rPr>
                <w:rFonts w:ascii="Times New Roman" w:eastAsia="华文楷体" w:hAnsi="Times New Roman" w:cs="Times New Roman" w:hint="eastAsia"/>
                <w:b/>
                <w:sz w:val="24"/>
                <w:szCs w:val="24"/>
              </w:rPr>
              <w:t>公司</w:t>
            </w:r>
            <w:r w:rsidR="007E025E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”）</w:t>
            </w:r>
            <w:r>
              <w:rPr>
                <w:rFonts w:eastAsia="华文楷体" w:hint="eastAsia"/>
                <w:sz w:val="24"/>
                <w:szCs w:val="24"/>
              </w:rPr>
              <w:t>间接收购</w:t>
            </w:r>
            <w:r w:rsidR="007E025E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尔梅瓦控股公司（“</w:t>
            </w:r>
            <w:r w:rsidR="007E025E" w:rsidRPr="001D54D5">
              <w:rPr>
                <w:rFonts w:ascii="Times New Roman" w:eastAsia="华文楷体" w:hAnsi="Times New Roman" w:cs="Times New Roman" w:hint="eastAsia"/>
                <w:b/>
                <w:sz w:val="24"/>
                <w:szCs w:val="24"/>
              </w:rPr>
              <w:t>尔梅瓦</w:t>
            </w:r>
            <w:r w:rsidR="007E025E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”）</w:t>
            </w:r>
            <w:r>
              <w:rPr>
                <w:rFonts w:eastAsia="华文楷体" w:hint="eastAsia"/>
                <w:sz w:val="24"/>
                <w:szCs w:val="24"/>
              </w:rPr>
              <w:t>的全部股权。</w:t>
            </w:r>
            <w:r w:rsidR="00DB21B0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本交易前，</w:t>
            </w:r>
            <w:r w:rsidR="001D54D5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尔梅瓦由</w:t>
            </w:r>
            <w:r w:rsidR="00A911E3" w:rsidRPr="00A911E3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法国国家铁路公司</w:t>
            </w:r>
            <w:r w:rsidR="0004242B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的间接子公司</w:t>
            </w:r>
            <w:r w:rsidR="00262317" w:rsidRPr="00170A74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T</w:t>
            </w:r>
            <w:r w:rsidR="00262317" w:rsidRPr="00170A74">
              <w:rPr>
                <w:rFonts w:ascii="Times New Roman" w:eastAsia="华文楷体" w:hAnsi="Times New Roman" w:cs="Times New Roman"/>
                <w:bCs/>
                <w:sz w:val="24"/>
                <w:szCs w:val="24"/>
              </w:rPr>
              <w:t>LP</w:t>
            </w:r>
            <w:r w:rsidR="00262317" w:rsidRPr="00170A74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公司</w:t>
            </w:r>
            <w:r w:rsidR="00262317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单独控制。</w:t>
            </w:r>
            <w:r w:rsidR="00296587">
              <w:rPr>
                <w:rFonts w:eastAsia="华文楷体" w:hint="eastAsia"/>
                <w:sz w:val="24"/>
                <w:szCs w:val="24"/>
              </w:rPr>
              <w:t>本交易完成后，</w:t>
            </w:r>
            <w:r w:rsidR="00296587" w:rsidRPr="00296587">
              <w:rPr>
                <w:rFonts w:ascii="Times New Roman" w:eastAsia="华文楷体" w:hAnsi="Times New Roman" w:cs="Times New Roman"/>
                <w:sz w:val="24"/>
                <w:szCs w:val="24"/>
              </w:rPr>
              <w:t>CDPQ</w:t>
            </w:r>
            <w:r w:rsidR="00296587">
              <w:rPr>
                <w:rFonts w:eastAsia="华文楷体" w:hint="eastAsia"/>
                <w:sz w:val="24"/>
                <w:szCs w:val="24"/>
              </w:rPr>
              <w:t>和</w:t>
            </w:r>
            <w:r w:rsidR="00296587" w:rsidRPr="00296587">
              <w:rPr>
                <w:rFonts w:ascii="Times New Roman" w:eastAsia="华文楷体" w:hAnsi="Times New Roman" w:cs="Times New Roman"/>
                <w:sz w:val="24"/>
                <w:szCs w:val="24"/>
              </w:rPr>
              <w:t>DWS</w:t>
            </w:r>
            <w:r w:rsidR="00296587">
              <w:rPr>
                <w:rFonts w:eastAsia="华文楷体" w:hint="eastAsia"/>
                <w:sz w:val="24"/>
                <w:szCs w:val="24"/>
              </w:rPr>
              <w:t>各自将间接持有尔梅瓦</w:t>
            </w:r>
            <w:r w:rsidR="00296587" w:rsidRPr="00CA5F77">
              <w:rPr>
                <w:rFonts w:ascii="Times New Roman" w:eastAsia="华文楷体" w:hAnsi="Times New Roman" w:cs="Times New Roman"/>
                <w:sz w:val="24"/>
                <w:szCs w:val="24"/>
              </w:rPr>
              <w:t>50%</w:t>
            </w:r>
            <w:r w:rsidR="00296587">
              <w:rPr>
                <w:rFonts w:eastAsia="华文楷体" w:hint="eastAsia"/>
                <w:sz w:val="24"/>
                <w:szCs w:val="24"/>
              </w:rPr>
              <w:t>的股权并共同控制尔梅瓦。</w:t>
            </w:r>
          </w:p>
        </w:tc>
      </w:tr>
      <w:tr w:rsidR="00DB21B0" w:rsidRPr="001959A0" w14:paraId="774611B5" w14:textId="77777777" w:rsidTr="000E178B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4B6CC667" w14:textId="77777777" w:rsidR="00DB21B0" w:rsidRPr="009961A0" w:rsidRDefault="00DB21B0" w:rsidP="009961A0">
            <w:pPr>
              <w:widowControl w:val="0"/>
              <w:spacing w:after="0" w:line="500" w:lineRule="exact"/>
              <w:rPr>
                <w:rFonts w:ascii="Times New Roman" w:eastAsia="华文楷体" w:hAnsi="Times New Roman" w:cs="Times New Roman"/>
                <w:b/>
                <w:kern w:val="2"/>
                <w:sz w:val="24"/>
                <w:szCs w:val="24"/>
              </w:rPr>
            </w:pPr>
            <w:r w:rsidRPr="009961A0">
              <w:rPr>
                <w:rFonts w:ascii="Times New Roman" w:eastAsia="华文楷体" w:hAnsi="Times New Roman" w:cs="Times New Roman"/>
                <w:b/>
                <w:kern w:val="2"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  <w:vAlign w:val="center"/>
          </w:tcPr>
          <w:p w14:paraId="270434B7" w14:textId="77777777" w:rsidR="00DB21B0" w:rsidRPr="009961A0" w:rsidRDefault="0035045F" w:rsidP="009961A0">
            <w:pPr>
              <w:widowControl w:val="0"/>
              <w:adjustRightInd w:val="0"/>
              <w:snapToGrid w:val="0"/>
              <w:spacing w:after="120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>C</w:t>
            </w:r>
            <w:r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DPQ</w:t>
            </w:r>
          </w:p>
        </w:tc>
        <w:tc>
          <w:tcPr>
            <w:tcW w:w="5153" w:type="dxa"/>
          </w:tcPr>
          <w:p w14:paraId="67670C0C" w14:textId="168585FD" w:rsidR="00DB21B0" w:rsidRPr="009961A0" w:rsidRDefault="000A786A" w:rsidP="00AD56DC">
            <w:pPr>
              <w:adjustRightInd w:val="0"/>
              <w:snapToGrid w:val="0"/>
              <w:spacing w:after="120"/>
              <w:jc w:val="both"/>
              <w:rPr>
                <w:rFonts w:ascii="Times New Roman" w:eastAsia="华文楷体" w:hAnsi="Times New Roman" w:cs="Times New Roman"/>
                <w:sz w:val="24"/>
                <w:szCs w:val="24"/>
                <w:lang w:val="en-GB"/>
              </w:rPr>
            </w:pPr>
            <w:r w:rsidRPr="000A786A">
              <w:rPr>
                <w:rFonts w:ascii="Times New Roman" w:eastAsia="华文楷体" w:hAnsi="Times New Roman" w:cs="Times New Roman" w:hint="eastAsia"/>
                <w:sz w:val="24"/>
                <w:szCs w:val="24"/>
                <w:lang w:val="en-GB"/>
              </w:rPr>
              <w:t>CDPQ</w:t>
            </w:r>
            <w:r w:rsidRPr="000A786A">
              <w:rPr>
                <w:rFonts w:ascii="Times New Roman" w:eastAsia="华文楷体" w:hAnsi="Times New Roman" w:cs="Times New Roman" w:hint="eastAsia"/>
                <w:sz w:val="24"/>
                <w:szCs w:val="24"/>
                <w:lang w:val="en-GB"/>
              </w:rPr>
              <w:t>是根据加拿大魁北克省国民议会的一项法案于</w:t>
            </w:r>
            <w:r w:rsidRPr="000A786A">
              <w:rPr>
                <w:rFonts w:ascii="Times New Roman" w:eastAsia="华文楷体" w:hAnsi="Times New Roman" w:cs="Times New Roman" w:hint="eastAsia"/>
                <w:sz w:val="24"/>
                <w:szCs w:val="24"/>
                <w:lang w:val="en-GB"/>
              </w:rPr>
              <w:t>1965</w:t>
            </w:r>
            <w:r w:rsidRPr="000A786A">
              <w:rPr>
                <w:rFonts w:ascii="Times New Roman" w:eastAsia="华文楷体" w:hAnsi="Times New Roman" w:cs="Times New Roman" w:hint="eastAsia"/>
                <w:sz w:val="24"/>
                <w:szCs w:val="24"/>
                <w:lang w:val="en-GB"/>
              </w:rPr>
              <w:t>年设立并受该法案监管的法人，</w:t>
            </w:r>
            <w:r w:rsidRPr="000A786A">
              <w:rPr>
                <w:rFonts w:ascii="Times New Roman" w:eastAsia="华文楷体" w:hAnsi="Times New Roman" w:cs="Times New Roman" w:hint="eastAsia"/>
                <w:sz w:val="24"/>
                <w:szCs w:val="24"/>
                <w:lang w:val="en-GB"/>
              </w:rPr>
              <w:t>CDPQ</w:t>
            </w:r>
            <w:r w:rsidRPr="000A786A">
              <w:rPr>
                <w:rFonts w:ascii="Times New Roman" w:eastAsia="华文楷体" w:hAnsi="Times New Roman" w:cs="Times New Roman" w:hint="eastAsia"/>
                <w:sz w:val="24"/>
                <w:szCs w:val="24"/>
                <w:lang w:val="en-GB"/>
              </w:rPr>
              <w:t>没有股本或股东。</w:t>
            </w:r>
            <w:r w:rsidRPr="000A786A">
              <w:rPr>
                <w:rFonts w:ascii="Times New Roman" w:eastAsia="华文楷体" w:hAnsi="Times New Roman" w:cs="Times New Roman" w:hint="eastAsia"/>
                <w:sz w:val="24"/>
                <w:szCs w:val="24"/>
                <w:lang w:val="en-GB"/>
              </w:rPr>
              <w:t>CDPQ</w:t>
            </w:r>
            <w:r w:rsidRPr="000A786A">
              <w:rPr>
                <w:rFonts w:ascii="Times New Roman" w:eastAsia="华文楷体" w:hAnsi="Times New Roman" w:cs="Times New Roman" w:hint="eastAsia"/>
                <w:sz w:val="24"/>
                <w:szCs w:val="24"/>
                <w:lang w:val="en-GB"/>
              </w:rPr>
              <w:t>是一家长期机构投资人，主要管理魁北克省公共和准公共养老金和保险计划的资金。</w:t>
            </w:r>
            <w:r w:rsidRPr="000A786A">
              <w:rPr>
                <w:rFonts w:ascii="Times New Roman" w:eastAsia="华文楷体" w:hAnsi="Times New Roman" w:cs="Times New Roman" w:hint="eastAsia"/>
                <w:sz w:val="24"/>
                <w:szCs w:val="24"/>
                <w:lang w:val="en-GB"/>
              </w:rPr>
              <w:t>CDPQ</w:t>
            </w:r>
            <w:r w:rsidRPr="000A786A">
              <w:rPr>
                <w:rFonts w:ascii="Times New Roman" w:eastAsia="华文楷体" w:hAnsi="Times New Roman" w:cs="Times New Roman" w:hint="eastAsia"/>
                <w:sz w:val="24"/>
                <w:szCs w:val="24"/>
                <w:lang w:val="en-GB"/>
              </w:rPr>
              <w:t>在全球范围内将这些资金投资于三种主要资产类型：股票、固定收益和不动产。</w:t>
            </w:r>
          </w:p>
        </w:tc>
      </w:tr>
      <w:tr w:rsidR="00DB21B0" w:rsidRPr="009961A0" w14:paraId="1D932E9C" w14:textId="77777777" w:rsidTr="000E178B">
        <w:trPr>
          <w:trHeight w:val="468"/>
        </w:trPr>
        <w:tc>
          <w:tcPr>
            <w:tcW w:w="1809" w:type="dxa"/>
            <w:vMerge/>
            <w:shd w:val="clear" w:color="auto" w:fill="D9D9D9"/>
          </w:tcPr>
          <w:p w14:paraId="5622356D" w14:textId="77777777" w:rsidR="00DB21B0" w:rsidRPr="009961A0" w:rsidRDefault="00DB21B0" w:rsidP="009961A0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b/>
                <w:kern w:val="2"/>
                <w:sz w:val="24"/>
                <w:szCs w:val="24"/>
              </w:rPr>
            </w:pPr>
          </w:p>
        </w:tc>
        <w:tc>
          <w:tcPr>
            <w:tcW w:w="1796" w:type="dxa"/>
            <w:vAlign w:val="center"/>
          </w:tcPr>
          <w:p w14:paraId="79688D5B" w14:textId="77777777" w:rsidR="00DB21B0" w:rsidRPr="009961A0" w:rsidRDefault="0035045F" w:rsidP="005445E9">
            <w:pPr>
              <w:widowControl w:val="0"/>
              <w:adjustRightInd w:val="0"/>
              <w:snapToGrid w:val="0"/>
              <w:spacing w:after="120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>D</w:t>
            </w:r>
            <w:r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WS</w:t>
            </w:r>
          </w:p>
        </w:tc>
        <w:tc>
          <w:tcPr>
            <w:tcW w:w="5153" w:type="dxa"/>
          </w:tcPr>
          <w:p w14:paraId="3B03D871" w14:textId="5DB25208" w:rsidR="00DB21B0" w:rsidRPr="009961A0" w:rsidRDefault="001B6F95" w:rsidP="008062FB">
            <w:pPr>
              <w:adjustRightInd w:val="0"/>
              <w:snapToGrid w:val="0"/>
              <w:spacing w:after="120"/>
              <w:jc w:val="both"/>
              <w:rPr>
                <w:rFonts w:ascii="Times New Roman" w:eastAsia="华文楷体" w:hAnsi="Times New Roman" w:cs="Times New Roman"/>
                <w:sz w:val="24"/>
                <w:szCs w:val="24"/>
              </w:rPr>
            </w:pPr>
            <w:r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>D</w:t>
            </w:r>
            <w:r>
              <w:rPr>
                <w:rFonts w:ascii="Times New Roman" w:eastAsia="华文楷体" w:hAnsi="Times New Roman" w:cs="Times New Roman"/>
                <w:sz w:val="24"/>
                <w:szCs w:val="24"/>
              </w:rPr>
              <w:t>WS</w:t>
            </w:r>
            <w:r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>是一家在英国注册的公司，其是泛欧基础设施</w:t>
            </w:r>
            <w:r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>I</w:t>
            </w:r>
            <w:r>
              <w:rPr>
                <w:rFonts w:ascii="Times New Roman" w:eastAsia="华文楷体" w:hAnsi="Times New Roman" w:cs="Times New Roman"/>
                <w:sz w:val="24"/>
                <w:szCs w:val="24"/>
              </w:rPr>
              <w:t>II</w:t>
            </w:r>
            <w:r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>基金的受托管理人。</w:t>
            </w:r>
            <w:r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>D</w:t>
            </w:r>
            <w:r>
              <w:rPr>
                <w:rFonts w:ascii="Times New Roman" w:eastAsia="华文楷体" w:hAnsi="Times New Roman" w:cs="Times New Roman"/>
                <w:sz w:val="24"/>
                <w:szCs w:val="24"/>
              </w:rPr>
              <w:t>WS</w:t>
            </w:r>
            <w:r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>的最终控制人是德意志银行股份公司。</w:t>
            </w:r>
            <w:r w:rsidR="00DD03F2" w:rsidRPr="00DD03F2"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>DWS</w:t>
            </w:r>
            <w:r w:rsidR="00DD03F2" w:rsidRPr="00DD03F2"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>集团在法兰克福证券交易所上市，是一家专注资产和投资管理、研究分析、投资组合搭建、财务规划和咨询服务国际平台。</w:t>
            </w:r>
          </w:p>
        </w:tc>
      </w:tr>
      <w:tr w:rsidR="00DB21B0" w:rsidRPr="009961A0" w14:paraId="21DABECE" w14:textId="77777777" w:rsidTr="000E178B">
        <w:trPr>
          <w:trHeight w:val="468"/>
        </w:trPr>
        <w:tc>
          <w:tcPr>
            <w:tcW w:w="1809" w:type="dxa"/>
            <w:vMerge/>
            <w:shd w:val="clear" w:color="auto" w:fill="D9D9D9"/>
          </w:tcPr>
          <w:p w14:paraId="326FDC0E" w14:textId="77777777" w:rsidR="00DB21B0" w:rsidRPr="009961A0" w:rsidRDefault="00DB21B0" w:rsidP="009961A0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b/>
                <w:kern w:val="2"/>
                <w:sz w:val="24"/>
                <w:szCs w:val="24"/>
              </w:rPr>
            </w:pPr>
          </w:p>
        </w:tc>
        <w:tc>
          <w:tcPr>
            <w:tcW w:w="1796" w:type="dxa"/>
            <w:vAlign w:val="center"/>
          </w:tcPr>
          <w:p w14:paraId="0859E692" w14:textId="77777777" w:rsidR="00DB21B0" w:rsidRDefault="0035045F" w:rsidP="005445E9">
            <w:pPr>
              <w:widowControl w:val="0"/>
              <w:adjustRightInd w:val="0"/>
              <w:snapToGrid w:val="0"/>
              <w:spacing w:after="120"/>
              <w:rPr>
                <w:rFonts w:ascii="Times New Roman" w:eastAsia="华文楷体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尔梅瓦</w:t>
            </w:r>
          </w:p>
        </w:tc>
        <w:tc>
          <w:tcPr>
            <w:tcW w:w="5153" w:type="dxa"/>
          </w:tcPr>
          <w:p w14:paraId="7BEF2E93" w14:textId="77777777" w:rsidR="00DB21B0" w:rsidRDefault="00C500D7" w:rsidP="008062FB">
            <w:pPr>
              <w:adjustRightInd w:val="0"/>
              <w:snapToGrid w:val="0"/>
              <w:spacing w:after="120"/>
              <w:jc w:val="both"/>
              <w:rPr>
                <w:rFonts w:ascii="Times New Roman" w:eastAsia="华文楷体" w:hAnsi="Times New Roman" w:cs="Times New Roman"/>
                <w:sz w:val="24"/>
                <w:szCs w:val="24"/>
              </w:rPr>
            </w:pPr>
            <w:r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>尔梅瓦是一家在法国注册的公司，其是</w:t>
            </w:r>
            <w:r w:rsidR="00F90F45"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>尔梅瓦集团的控股公司。尔梅瓦集团从事</w:t>
            </w:r>
            <w:r w:rsidR="000966D2"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>运输资产管理业务。</w:t>
            </w:r>
          </w:p>
        </w:tc>
      </w:tr>
      <w:tr w:rsidR="009961A0" w:rsidRPr="009961A0" w14:paraId="116074C4" w14:textId="77777777" w:rsidTr="000E178B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14:paraId="5FD6B2FC" w14:textId="77777777" w:rsidR="009961A0" w:rsidRPr="009961A0" w:rsidRDefault="009961A0" w:rsidP="009961A0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b/>
                <w:kern w:val="2"/>
                <w:sz w:val="24"/>
                <w:szCs w:val="24"/>
              </w:rPr>
            </w:pPr>
            <w:r w:rsidRPr="009961A0">
              <w:rPr>
                <w:rFonts w:ascii="Times New Roman" w:eastAsia="华文楷体" w:hAnsi="Times New Roman" w:cs="Times New Roman"/>
                <w:b/>
                <w:kern w:val="2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4A9D58B2" w14:textId="77777777" w:rsidR="009961A0" w:rsidRPr="009961A0" w:rsidRDefault="00324360" w:rsidP="009961A0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  <w:r w:rsidRPr="009961A0">
              <w:rPr>
                <w:rFonts w:ascii="Times New Roman" w:eastAsia="华文楷体" w:hAnsi="Times New Roman" w:cs="Times New Roman"/>
                <w:sz w:val="24"/>
                <w:szCs w:val="24"/>
              </w:rPr>
              <w:sym w:font="Wingdings" w:char="F0A8"/>
            </w:r>
            <w:r w:rsidR="009961A0" w:rsidRPr="009961A0"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 xml:space="preserve"> </w:t>
            </w:r>
            <w:r w:rsidR="009961A0"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1</w:t>
            </w:r>
            <w:r w:rsidR="009961A0"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、在同一相关市场，所有参与集中的经营者所占市场份额之和小于</w:t>
            </w:r>
            <w:r w:rsidR="009961A0"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15%</w:t>
            </w:r>
            <w:r w:rsidR="009961A0"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。</w:t>
            </w:r>
          </w:p>
        </w:tc>
      </w:tr>
      <w:tr w:rsidR="009961A0" w:rsidRPr="009961A0" w14:paraId="3376C1C3" w14:textId="77777777" w:rsidTr="000E178B">
        <w:trPr>
          <w:trHeight w:val="330"/>
        </w:trPr>
        <w:tc>
          <w:tcPr>
            <w:tcW w:w="1809" w:type="dxa"/>
            <w:vMerge/>
            <w:shd w:val="clear" w:color="auto" w:fill="D9D9D9"/>
          </w:tcPr>
          <w:p w14:paraId="3C6C3D59" w14:textId="77777777" w:rsidR="009961A0" w:rsidRPr="009961A0" w:rsidRDefault="009961A0" w:rsidP="009961A0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1F7A5760" w14:textId="77777777" w:rsidR="009961A0" w:rsidRPr="009961A0" w:rsidRDefault="00DB21B0" w:rsidP="009961A0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  <w:r w:rsidRPr="009961A0">
              <w:rPr>
                <w:rFonts w:ascii="Times New Roman" w:eastAsia="华文楷体" w:hAnsi="Times New Roman" w:cs="Times New Roman"/>
                <w:sz w:val="24"/>
                <w:szCs w:val="24"/>
              </w:rPr>
              <w:sym w:font="Wingdings" w:char="F0A8"/>
            </w:r>
            <w:r w:rsidR="009961A0" w:rsidRPr="009961A0"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 xml:space="preserve"> </w:t>
            </w:r>
            <w:r w:rsidR="009961A0"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2</w:t>
            </w:r>
            <w:r w:rsidR="009961A0"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、存在上下游关系的参与集中的经营者，在上下游市场所占的市场份额均小于</w:t>
            </w:r>
            <w:r w:rsidR="009961A0"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25%</w:t>
            </w:r>
            <w:r w:rsidR="009961A0"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。</w:t>
            </w:r>
          </w:p>
        </w:tc>
      </w:tr>
      <w:tr w:rsidR="009961A0" w:rsidRPr="009961A0" w14:paraId="49839EC3" w14:textId="77777777" w:rsidTr="000E178B">
        <w:trPr>
          <w:trHeight w:val="285"/>
        </w:trPr>
        <w:tc>
          <w:tcPr>
            <w:tcW w:w="1809" w:type="dxa"/>
            <w:vMerge/>
            <w:shd w:val="clear" w:color="auto" w:fill="D9D9D9"/>
          </w:tcPr>
          <w:p w14:paraId="6DF41F0B" w14:textId="77777777" w:rsidR="009961A0" w:rsidRPr="009961A0" w:rsidRDefault="009961A0" w:rsidP="009961A0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4957D498" w14:textId="77777777" w:rsidR="009961A0" w:rsidRPr="009961A0" w:rsidRDefault="00324360" w:rsidP="009961A0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  <w:r>
              <w:rPr>
                <w:rFonts w:eastAsia="黑体"/>
                <w:szCs w:val="21"/>
              </w:rPr>
              <w:sym w:font="Wingdings" w:char="F0FE"/>
            </w:r>
            <w:r w:rsidR="009961A0" w:rsidRPr="009961A0"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 xml:space="preserve"> </w:t>
            </w:r>
            <w:r w:rsidR="009961A0"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3</w:t>
            </w:r>
            <w:r w:rsidR="009961A0"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、不在同一相关市场、也不存在上下游关系的参与集中的经</w:t>
            </w:r>
            <w:r w:rsidR="009961A0"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lastRenderedPageBreak/>
              <w:t>营者，在与交易有关的每个市场所占的份额均小于</w:t>
            </w:r>
            <w:r w:rsidR="009961A0"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25%</w:t>
            </w:r>
            <w:r w:rsidR="009961A0"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。</w:t>
            </w:r>
          </w:p>
        </w:tc>
      </w:tr>
      <w:tr w:rsidR="009961A0" w:rsidRPr="009961A0" w14:paraId="4905DBDC" w14:textId="77777777" w:rsidTr="000E178B">
        <w:trPr>
          <w:trHeight w:val="870"/>
        </w:trPr>
        <w:tc>
          <w:tcPr>
            <w:tcW w:w="1809" w:type="dxa"/>
            <w:vMerge/>
            <w:shd w:val="clear" w:color="auto" w:fill="D9D9D9"/>
          </w:tcPr>
          <w:p w14:paraId="596E8CFC" w14:textId="77777777" w:rsidR="009961A0" w:rsidRPr="009961A0" w:rsidRDefault="009961A0" w:rsidP="009961A0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012379D7" w14:textId="77777777" w:rsidR="009961A0" w:rsidRPr="009961A0" w:rsidRDefault="009961A0" w:rsidP="009961A0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  <w:r w:rsidRPr="009961A0">
              <w:rPr>
                <w:rFonts w:ascii="Times New Roman" w:eastAsia="华文楷体" w:hAnsi="Times New Roman" w:cs="Times New Roman"/>
                <w:sz w:val="24"/>
                <w:szCs w:val="24"/>
              </w:rPr>
              <w:sym w:font="Wingdings" w:char="F0A8"/>
            </w:r>
            <w:r w:rsidRPr="009961A0"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 xml:space="preserve"> </w:t>
            </w:r>
            <w:r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4</w:t>
            </w:r>
            <w:r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9961A0" w:rsidRPr="009961A0" w14:paraId="237E15F4" w14:textId="77777777" w:rsidTr="000E178B">
        <w:trPr>
          <w:trHeight w:val="264"/>
        </w:trPr>
        <w:tc>
          <w:tcPr>
            <w:tcW w:w="1809" w:type="dxa"/>
            <w:vMerge/>
            <w:shd w:val="clear" w:color="auto" w:fill="D9D9D9"/>
          </w:tcPr>
          <w:p w14:paraId="00D06DF4" w14:textId="77777777" w:rsidR="009961A0" w:rsidRPr="009961A0" w:rsidRDefault="009961A0" w:rsidP="009961A0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5716DF37" w14:textId="77777777" w:rsidR="009961A0" w:rsidRPr="009961A0" w:rsidRDefault="009961A0" w:rsidP="009961A0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  <w:r w:rsidRPr="009961A0">
              <w:rPr>
                <w:rFonts w:ascii="Times New Roman" w:eastAsia="华文楷体" w:hAnsi="Times New Roman" w:cs="Times New Roman"/>
                <w:sz w:val="24"/>
                <w:szCs w:val="24"/>
              </w:rPr>
              <w:sym w:font="Wingdings" w:char="F0A8"/>
            </w:r>
            <w:r w:rsidRPr="009961A0"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 xml:space="preserve"> </w:t>
            </w:r>
            <w:r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5</w:t>
            </w:r>
            <w:r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9961A0" w:rsidRPr="009961A0" w14:paraId="1162BDCC" w14:textId="77777777" w:rsidTr="000E178B">
        <w:trPr>
          <w:trHeight w:val="345"/>
        </w:trPr>
        <w:tc>
          <w:tcPr>
            <w:tcW w:w="1809" w:type="dxa"/>
            <w:vMerge/>
            <w:shd w:val="clear" w:color="auto" w:fill="D9D9D9"/>
          </w:tcPr>
          <w:p w14:paraId="371CEFD5" w14:textId="77777777" w:rsidR="009961A0" w:rsidRPr="009961A0" w:rsidRDefault="009961A0" w:rsidP="009961A0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6C298F13" w14:textId="77777777" w:rsidR="009961A0" w:rsidRPr="009961A0" w:rsidRDefault="00324360" w:rsidP="009961A0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  <w:r w:rsidRPr="009961A0">
              <w:rPr>
                <w:rFonts w:ascii="Times New Roman" w:eastAsia="华文楷体" w:hAnsi="Times New Roman" w:cs="Times New Roman"/>
                <w:sz w:val="24"/>
                <w:szCs w:val="24"/>
              </w:rPr>
              <w:sym w:font="Wingdings" w:char="F0A8"/>
            </w:r>
            <w:r w:rsidR="009961A0" w:rsidRPr="009961A0"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 xml:space="preserve"> </w:t>
            </w:r>
            <w:r w:rsidR="009961A0"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6</w:t>
            </w:r>
            <w:r w:rsidR="009961A0"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9961A0" w:rsidRPr="009961A0" w14:paraId="59ACE594" w14:textId="77777777" w:rsidTr="000E178B">
        <w:tc>
          <w:tcPr>
            <w:tcW w:w="1809" w:type="dxa"/>
            <w:shd w:val="clear" w:color="auto" w:fill="D9D9D9"/>
          </w:tcPr>
          <w:p w14:paraId="1417F22F" w14:textId="77777777" w:rsidR="009961A0" w:rsidRPr="009961A0" w:rsidRDefault="009961A0" w:rsidP="009961A0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b/>
                <w:kern w:val="2"/>
                <w:sz w:val="24"/>
                <w:szCs w:val="24"/>
              </w:rPr>
            </w:pPr>
            <w:r w:rsidRPr="009961A0">
              <w:rPr>
                <w:rFonts w:ascii="Times New Roman" w:eastAsia="华文楷体" w:hAnsi="Times New Roman" w:cs="Times New Roman"/>
                <w:b/>
                <w:kern w:val="2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 w14:paraId="75B2BBF4" w14:textId="77777777" w:rsidR="00DB21B0" w:rsidRPr="00DB21B0" w:rsidRDefault="00DB21B0" w:rsidP="00DB21B0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  <w:r w:rsidRPr="00DB21B0"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>本交易涉及</w:t>
            </w:r>
            <w:r w:rsidR="00324360"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>的</w:t>
            </w:r>
            <w:r w:rsidR="00BB35B8"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>相关</w:t>
            </w:r>
            <w:r w:rsidR="00324360"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>商品</w:t>
            </w:r>
            <w:r w:rsidR="00BB35B8"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>市场</w:t>
            </w:r>
            <w:r w:rsidR="00324360"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>为罐式集装箱租赁市场</w:t>
            </w:r>
            <w:r w:rsidR="00BB35B8"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>，相关地域市场为</w:t>
            </w:r>
            <w:r w:rsidR="0035045F"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>全球</w:t>
            </w:r>
            <w:r w:rsidR="00457168"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>市场</w:t>
            </w:r>
            <w:r w:rsidR="00BB35B8"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>。市场份额如下</w:t>
            </w:r>
            <w:r w:rsidRPr="00DB21B0"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>：</w:t>
            </w:r>
          </w:p>
          <w:p w14:paraId="64E17966" w14:textId="77777777" w:rsidR="00DD2696" w:rsidRDefault="0035045F" w:rsidP="00DB21B0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>C</w:t>
            </w:r>
            <w:r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DPQ</w:t>
            </w:r>
            <w:r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>：</w:t>
            </w:r>
            <w:r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>[</w:t>
            </w:r>
            <w:r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0-5]%</w:t>
            </w:r>
          </w:p>
          <w:p w14:paraId="38FB1E57" w14:textId="77777777" w:rsidR="0035045F" w:rsidRDefault="0035045F" w:rsidP="00DB21B0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>D</w:t>
            </w:r>
            <w:r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WS</w:t>
            </w:r>
            <w:r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>：</w:t>
            </w:r>
            <w:r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>[</w:t>
            </w:r>
            <w:r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0-5]%</w:t>
            </w:r>
          </w:p>
          <w:p w14:paraId="14C7B2BF" w14:textId="77777777" w:rsidR="0035045F" w:rsidRDefault="0035045F" w:rsidP="00DB21B0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>尔梅瓦：</w:t>
            </w:r>
            <w:r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>[</w:t>
            </w:r>
            <w:r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20-25]%</w:t>
            </w:r>
          </w:p>
          <w:p w14:paraId="4C20F345" w14:textId="77777777" w:rsidR="007F68D9" w:rsidRDefault="007F68D9" w:rsidP="00DB21B0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</w:p>
          <w:p w14:paraId="27218C83" w14:textId="77777777" w:rsidR="007F68D9" w:rsidRDefault="007F68D9" w:rsidP="00DB21B0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>出于材料完整性考虑，各方提供其各自在中国国内罐式集装箱租赁市场上的市场份额：</w:t>
            </w:r>
          </w:p>
          <w:p w14:paraId="4D184D63" w14:textId="77777777" w:rsidR="004003E2" w:rsidRDefault="004003E2" w:rsidP="004003E2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>C</w:t>
            </w:r>
            <w:r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DPQ</w:t>
            </w:r>
            <w:r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>：</w:t>
            </w:r>
            <w:r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>[</w:t>
            </w:r>
            <w:r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0-5]%</w:t>
            </w:r>
          </w:p>
          <w:p w14:paraId="385DB9F7" w14:textId="77777777" w:rsidR="004003E2" w:rsidRDefault="004003E2" w:rsidP="004003E2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>D</w:t>
            </w:r>
            <w:r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WS</w:t>
            </w:r>
            <w:r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>：</w:t>
            </w:r>
            <w:r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>[</w:t>
            </w:r>
            <w:r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0-5]%</w:t>
            </w:r>
          </w:p>
          <w:p w14:paraId="7EB3FAE3" w14:textId="77777777" w:rsidR="007F68D9" w:rsidRPr="009961A0" w:rsidRDefault="004003E2" w:rsidP="00DB21B0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>尔梅瓦：</w:t>
            </w:r>
            <w:r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>[</w:t>
            </w:r>
            <w:r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5-10]%</w:t>
            </w:r>
          </w:p>
        </w:tc>
      </w:tr>
    </w:tbl>
    <w:p w14:paraId="58F03635" w14:textId="77777777" w:rsidR="0090238E" w:rsidRDefault="0090238E" w:rsidP="00F07BD9"/>
    <w:sectPr w:rsidR="0090238E" w:rsidSect="00ED21B1">
      <w:footerReference w:type="default" r:id="rId7"/>
      <w:footerReference w:type="firs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9D97456" w14:textId="77777777" w:rsidR="00E516FA" w:rsidRDefault="00E516FA">
      <w:pPr>
        <w:spacing w:after="0" w:line="240" w:lineRule="auto"/>
      </w:pPr>
      <w:r>
        <w:separator/>
      </w:r>
    </w:p>
  </w:endnote>
  <w:endnote w:type="continuationSeparator" w:id="0">
    <w:p w14:paraId="679E36E3" w14:textId="77777777" w:rsidR="00E516FA" w:rsidRDefault="00E516FA">
      <w:pPr>
        <w:spacing w:after="0" w:line="240" w:lineRule="auto"/>
      </w:pPr>
      <w:r>
        <w:continuationSeparator/>
      </w:r>
    </w:p>
  </w:endnote>
  <w:endnote w:type="continuationNotice" w:id="1">
    <w:p w14:paraId="63F2C4F4" w14:textId="77777777" w:rsidR="00E516FA" w:rsidRDefault="00E516F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notTrueType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FDF66E" w14:textId="77777777" w:rsidR="00417F58" w:rsidRDefault="00E516FA">
    <w:pPr>
      <w:pStyle w:val="a3"/>
      <w:spacing w:line="20" w:lineRule="exac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3357A98" w14:textId="77777777" w:rsidR="00417F58" w:rsidRDefault="009961A0">
    <w:pPr>
      <w:pStyle w:val="a3"/>
      <w:spacing w:line="20" w:lineRule="exact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7AECECA7" wp14:editId="6E3FC6EA">
              <wp:simplePos x="0" y="0"/>
              <wp:positionH relativeFrom="margin">
                <wp:posOffset>0</wp:posOffset>
              </wp:positionH>
              <wp:positionV relativeFrom="paragraph">
                <wp:posOffset>-126365</wp:posOffset>
              </wp:positionV>
              <wp:extent cx="2560320" cy="255905"/>
              <wp:effectExtent l="0" t="0" r="11430" b="1079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60320" cy="2559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25C681F" w14:textId="77777777" w:rsidR="00417F58" w:rsidRDefault="00B617AD">
                          <w:pPr>
                            <w:pStyle w:val="MacPacTrailer"/>
                          </w:pPr>
                          <w:fldSimple w:instr=" DOCPROPERTY  docId ">
                            <w:r w:rsidR="00F46508">
                              <w:t>HKG3834522</w:t>
                            </w:r>
                          </w:fldSimple>
                          <w:r w:rsidR="00F46508">
                            <w:fldChar w:fldCharType="begin"/>
                          </w:r>
                          <w:r w:rsidR="00F46508">
                            <w:instrText xml:space="preserve"> IF </w:instrText>
                          </w:r>
                          <w:fldSimple w:instr=" DOCPROPERTY  docIncludeVersion ">
                            <w:r w:rsidR="00F46508">
                              <w:instrText>true</w:instrText>
                            </w:r>
                          </w:fldSimple>
                          <w:r w:rsidR="00F46508">
                            <w:instrText xml:space="preserve"> = true "/</w:instrText>
                          </w:r>
                          <w:fldSimple w:instr=" DOCPROPERTY  docVersion ">
                            <w:r w:rsidR="00F46508">
                              <w:instrText>1</w:instrText>
                            </w:r>
                          </w:fldSimple>
                          <w:r w:rsidR="00F46508">
                            <w:instrText>"</w:instrText>
                          </w:r>
                          <w:r w:rsidR="00F46508">
                            <w:fldChar w:fldCharType="separate"/>
                          </w:r>
                          <w:r w:rsidR="00F46508">
                            <w:rPr>
                              <w:noProof/>
                            </w:rPr>
                            <w:t>/1</w:t>
                          </w:r>
                          <w:r w:rsidR="00F46508">
                            <w:fldChar w:fldCharType="end"/>
                          </w:r>
                          <w:r w:rsidR="00F46508">
                            <w:t xml:space="preserve">   </w:t>
                          </w:r>
                          <w:r w:rsidR="00F46508">
                            <w:fldChar w:fldCharType="begin"/>
                          </w:r>
                          <w:r w:rsidR="00F46508">
                            <w:instrText xml:space="preserve"> IF </w:instrText>
                          </w:r>
                          <w:fldSimple w:instr=" DOCPROPERTY  docIncludeCliMat ">
                            <w:r w:rsidR="00F46508">
                              <w:instrText>true</w:instrText>
                            </w:r>
                          </w:fldSimple>
                          <w:r w:rsidR="00F46508">
                            <w:instrText xml:space="preserve"> = true </w:instrText>
                          </w:r>
                          <w:fldSimple w:instr=" DOCPROPERTY  docCliMat ">
                            <w:r w:rsidR="00F46508">
                              <w:instrText>167100-0004</w:instrText>
                            </w:r>
                          </w:fldSimple>
                          <w:r w:rsidR="00F46508">
                            <w:instrText xml:space="preserve">  </w:instrText>
                          </w:r>
                          <w:r w:rsidR="00F46508">
                            <w:fldChar w:fldCharType="separate"/>
                          </w:r>
                          <w:r w:rsidR="00F46508">
                            <w:rPr>
                              <w:noProof/>
                            </w:rPr>
                            <w:t>167100-0004</w:t>
                          </w:r>
                          <w:r w:rsidR="00F46508">
                            <w:fldChar w:fldCharType="end"/>
                          </w:r>
                        </w:p>
                        <w:p w14:paraId="7E133112" w14:textId="77777777" w:rsidR="00417F58" w:rsidRDefault="00E516FA">
                          <w:pPr>
                            <w:pStyle w:val="MacPacTrailer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ECECA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0;margin-top:-9.95pt;width:201.6pt;height:20.1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" filled="f" stroked="f">
              <v:textbox inset="0,0,0,0">
                <w:txbxContent>
                  <w:p w14:paraId="125C681F" w14:textId="77777777" w:rsidR="00417F58" w:rsidRDefault="00A772BC">
                    <w:pPr>
                      <w:pStyle w:val="MacPacTrailer"/>
                    </w:pPr>
                    <w:fldSimple w:instr=" DOCPROPERTY  docId ">
                      <w:r w:rsidR="00F46508">
                        <w:t>HKG3834522</w:t>
                      </w:r>
                    </w:fldSimple>
                    <w:r w:rsidR="00F46508">
                      <w:fldChar w:fldCharType="begin"/>
                    </w:r>
                    <w:r w:rsidR="00F46508">
                      <w:instrText xml:space="preserve"> IF </w:instrText>
                    </w:r>
                    <w:fldSimple w:instr=" DOCPROPERTY  docIncludeVersion ">
                      <w:r w:rsidR="00F46508">
                        <w:instrText>true</w:instrText>
                      </w:r>
                    </w:fldSimple>
                    <w:r w:rsidR="00F46508">
                      <w:instrText xml:space="preserve"> = true "/</w:instrText>
                    </w:r>
                    <w:fldSimple w:instr=" DOCPROPERTY  docVersion ">
                      <w:r w:rsidR="00F46508">
                        <w:instrText>1</w:instrText>
                      </w:r>
                    </w:fldSimple>
                    <w:r w:rsidR="00F46508">
                      <w:instrText>"</w:instrText>
                    </w:r>
                    <w:r w:rsidR="00F46508">
                      <w:fldChar w:fldCharType="separate"/>
                    </w:r>
                    <w:r w:rsidR="00F46508">
                      <w:rPr>
                        <w:noProof/>
                      </w:rPr>
                      <w:t>/1</w:t>
                    </w:r>
                    <w:r w:rsidR="00F46508">
                      <w:fldChar w:fldCharType="end"/>
                    </w:r>
                    <w:r w:rsidR="00F46508">
                      <w:t xml:space="preserve">   </w:t>
                    </w:r>
                    <w:r w:rsidR="00F46508">
                      <w:fldChar w:fldCharType="begin"/>
                    </w:r>
                    <w:r w:rsidR="00F46508">
                      <w:instrText xml:space="preserve"> IF </w:instrText>
                    </w:r>
                    <w:fldSimple w:instr=" DOCPROPERTY  docIncludeCliMat ">
                      <w:r w:rsidR="00F46508">
                        <w:instrText>true</w:instrText>
                      </w:r>
                    </w:fldSimple>
                    <w:r w:rsidR="00F46508">
                      <w:instrText xml:space="preserve"> = true </w:instrText>
                    </w:r>
                    <w:fldSimple w:instr=" DOCPROPERTY  docCliMat ">
                      <w:r w:rsidR="00F46508">
                        <w:instrText>167100-0004</w:instrText>
                      </w:r>
                    </w:fldSimple>
                    <w:r w:rsidR="00F46508">
                      <w:instrText xml:space="preserve">  </w:instrText>
                    </w:r>
                    <w:r w:rsidR="00F46508">
                      <w:fldChar w:fldCharType="separate"/>
                    </w:r>
                    <w:r w:rsidR="00F46508">
                      <w:rPr>
                        <w:noProof/>
                      </w:rPr>
                      <w:t>167100-0004</w:t>
                    </w:r>
                    <w:r w:rsidR="00F46508">
                      <w:fldChar w:fldCharType="end"/>
                    </w:r>
                  </w:p>
                  <w:p w14:paraId="7E133112" w14:textId="77777777" w:rsidR="00417F58" w:rsidRDefault="00A062AF">
                    <w:pPr>
                      <w:pStyle w:val="MacPacTrailer"/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6E067A5" w14:textId="77777777" w:rsidR="00E516FA" w:rsidRDefault="00E516FA">
      <w:pPr>
        <w:spacing w:after="0" w:line="240" w:lineRule="auto"/>
      </w:pPr>
      <w:r>
        <w:separator/>
      </w:r>
    </w:p>
  </w:footnote>
  <w:footnote w:type="continuationSeparator" w:id="0">
    <w:p w14:paraId="262158DE" w14:textId="77777777" w:rsidR="00E516FA" w:rsidRDefault="00E516FA">
      <w:pPr>
        <w:spacing w:after="0" w:line="240" w:lineRule="auto"/>
      </w:pPr>
      <w:r>
        <w:continuationSeparator/>
      </w:r>
    </w:p>
  </w:footnote>
  <w:footnote w:type="continuationNotice" w:id="1">
    <w:p w14:paraId="042DC821" w14:textId="77777777" w:rsidR="00E516FA" w:rsidRDefault="00E516FA">
      <w:pPr>
        <w:spacing w:after="0" w:line="240" w:lineRule="auto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61A0"/>
    <w:rsid w:val="0000283A"/>
    <w:rsid w:val="00006BDE"/>
    <w:rsid w:val="0004242B"/>
    <w:rsid w:val="00046F76"/>
    <w:rsid w:val="000831D3"/>
    <w:rsid w:val="000966D2"/>
    <w:rsid w:val="00097DBD"/>
    <w:rsid w:val="000A786A"/>
    <w:rsid w:val="00117E32"/>
    <w:rsid w:val="00130AE9"/>
    <w:rsid w:val="00154AA6"/>
    <w:rsid w:val="00155504"/>
    <w:rsid w:val="00170A74"/>
    <w:rsid w:val="00171ABE"/>
    <w:rsid w:val="001725FB"/>
    <w:rsid w:val="00177FFC"/>
    <w:rsid w:val="001959A0"/>
    <w:rsid w:val="001A2D42"/>
    <w:rsid w:val="001B6F95"/>
    <w:rsid w:val="001D54D5"/>
    <w:rsid w:val="001F3005"/>
    <w:rsid w:val="001F6012"/>
    <w:rsid w:val="00262317"/>
    <w:rsid w:val="0028299F"/>
    <w:rsid w:val="00296587"/>
    <w:rsid w:val="00315D91"/>
    <w:rsid w:val="00321BE4"/>
    <w:rsid w:val="00324360"/>
    <w:rsid w:val="00327520"/>
    <w:rsid w:val="00340938"/>
    <w:rsid w:val="0035045F"/>
    <w:rsid w:val="00363D3E"/>
    <w:rsid w:val="003A30FD"/>
    <w:rsid w:val="003B6755"/>
    <w:rsid w:val="003B7B10"/>
    <w:rsid w:val="003F4A21"/>
    <w:rsid w:val="004003E2"/>
    <w:rsid w:val="00435434"/>
    <w:rsid w:val="00457168"/>
    <w:rsid w:val="004950EF"/>
    <w:rsid w:val="004A65E0"/>
    <w:rsid w:val="004D2071"/>
    <w:rsid w:val="004E7A53"/>
    <w:rsid w:val="00530E08"/>
    <w:rsid w:val="00534EF3"/>
    <w:rsid w:val="005445E9"/>
    <w:rsid w:val="00563B2A"/>
    <w:rsid w:val="005A0DB8"/>
    <w:rsid w:val="005A16CA"/>
    <w:rsid w:val="005B2DE1"/>
    <w:rsid w:val="005D7F85"/>
    <w:rsid w:val="00626CE9"/>
    <w:rsid w:val="00635247"/>
    <w:rsid w:val="00663DB0"/>
    <w:rsid w:val="00665F32"/>
    <w:rsid w:val="00683B71"/>
    <w:rsid w:val="006875E1"/>
    <w:rsid w:val="006D0611"/>
    <w:rsid w:val="006F768B"/>
    <w:rsid w:val="00725190"/>
    <w:rsid w:val="00760A19"/>
    <w:rsid w:val="007628CD"/>
    <w:rsid w:val="00762F3A"/>
    <w:rsid w:val="007638F8"/>
    <w:rsid w:val="00774882"/>
    <w:rsid w:val="00777256"/>
    <w:rsid w:val="007919B6"/>
    <w:rsid w:val="0079671D"/>
    <w:rsid w:val="007A5BB8"/>
    <w:rsid w:val="007A7133"/>
    <w:rsid w:val="007B0F6A"/>
    <w:rsid w:val="007E025E"/>
    <w:rsid w:val="007E1DA9"/>
    <w:rsid w:val="007F68D9"/>
    <w:rsid w:val="008062FB"/>
    <w:rsid w:val="00827F26"/>
    <w:rsid w:val="0088378F"/>
    <w:rsid w:val="008B49B7"/>
    <w:rsid w:val="008D0501"/>
    <w:rsid w:val="0090238E"/>
    <w:rsid w:val="009961A0"/>
    <w:rsid w:val="009A5ACA"/>
    <w:rsid w:val="009D5B3E"/>
    <w:rsid w:val="009E4F93"/>
    <w:rsid w:val="009F1595"/>
    <w:rsid w:val="00A062AF"/>
    <w:rsid w:val="00A12CFE"/>
    <w:rsid w:val="00A30B9F"/>
    <w:rsid w:val="00A61A0D"/>
    <w:rsid w:val="00A64BE3"/>
    <w:rsid w:val="00A772BC"/>
    <w:rsid w:val="00A911E3"/>
    <w:rsid w:val="00AA2DDD"/>
    <w:rsid w:val="00AA3EE1"/>
    <w:rsid w:val="00AD56DC"/>
    <w:rsid w:val="00AD5F56"/>
    <w:rsid w:val="00AF3FB5"/>
    <w:rsid w:val="00B121E3"/>
    <w:rsid w:val="00B51B63"/>
    <w:rsid w:val="00B617AD"/>
    <w:rsid w:val="00B764CE"/>
    <w:rsid w:val="00B84B41"/>
    <w:rsid w:val="00B90C99"/>
    <w:rsid w:val="00BB35B8"/>
    <w:rsid w:val="00BE3851"/>
    <w:rsid w:val="00BE3BB0"/>
    <w:rsid w:val="00BE47A5"/>
    <w:rsid w:val="00BF194F"/>
    <w:rsid w:val="00C14B59"/>
    <w:rsid w:val="00C356E4"/>
    <w:rsid w:val="00C500D7"/>
    <w:rsid w:val="00C57689"/>
    <w:rsid w:val="00CA573E"/>
    <w:rsid w:val="00CA5F77"/>
    <w:rsid w:val="00CA7474"/>
    <w:rsid w:val="00CD16F4"/>
    <w:rsid w:val="00CF3A94"/>
    <w:rsid w:val="00D24A94"/>
    <w:rsid w:val="00D2555E"/>
    <w:rsid w:val="00D91C98"/>
    <w:rsid w:val="00DB21B0"/>
    <w:rsid w:val="00DD03F2"/>
    <w:rsid w:val="00DD2696"/>
    <w:rsid w:val="00E236D9"/>
    <w:rsid w:val="00E23A36"/>
    <w:rsid w:val="00E516FA"/>
    <w:rsid w:val="00EC15FD"/>
    <w:rsid w:val="00EC2675"/>
    <w:rsid w:val="00EC71B0"/>
    <w:rsid w:val="00EE19A6"/>
    <w:rsid w:val="00F0737D"/>
    <w:rsid w:val="00F075F6"/>
    <w:rsid w:val="00F07BD9"/>
    <w:rsid w:val="00F17054"/>
    <w:rsid w:val="00F221F2"/>
    <w:rsid w:val="00F23390"/>
    <w:rsid w:val="00F46508"/>
    <w:rsid w:val="00F72E74"/>
    <w:rsid w:val="00F82E2D"/>
    <w:rsid w:val="00F90F45"/>
    <w:rsid w:val="00FA22D1"/>
    <w:rsid w:val="00FD6535"/>
    <w:rsid w:val="00FE5B71"/>
    <w:rsid w:val="00FF6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2A26A5F5-1569-4390-BD29-537A9878A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rsid w:val="009961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脚 Char"/>
    <w:basedOn w:val="a0"/>
    <w:link w:val="a3"/>
    <w:uiPriority w:val="99"/>
    <w:rsid w:val="009961A0"/>
  </w:style>
  <w:style w:type="paragraph" w:customStyle="1" w:styleId="MacPacTrailer">
    <w:name w:val="MacPac Trailer"/>
    <w:rsid w:val="009961A0"/>
    <w:pPr>
      <w:widowControl w:val="0"/>
      <w:spacing w:after="0" w:line="170" w:lineRule="exact"/>
    </w:pPr>
    <w:rPr>
      <w:rFonts w:ascii="Times New Roman" w:eastAsia="Times New Roman" w:hAnsi="Times New Roman" w:cs="Times New Roman"/>
      <w:sz w:val="14"/>
      <w:lang w:eastAsia="en-US"/>
    </w:rPr>
  </w:style>
  <w:style w:type="paragraph" w:styleId="a4">
    <w:name w:val="header"/>
    <w:basedOn w:val="a"/>
    <w:link w:val="Char0"/>
    <w:uiPriority w:val="99"/>
    <w:unhideWhenUsed/>
    <w:rsid w:val="006875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眉 Char"/>
    <w:basedOn w:val="a0"/>
    <w:link w:val="a4"/>
    <w:uiPriority w:val="99"/>
    <w:rsid w:val="006875E1"/>
  </w:style>
  <w:style w:type="paragraph" w:styleId="a5">
    <w:name w:val="Balloon Text"/>
    <w:basedOn w:val="a"/>
    <w:link w:val="Char1"/>
    <w:uiPriority w:val="99"/>
    <w:semiHidden/>
    <w:unhideWhenUsed/>
    <w:rsid w:val="008062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批注框文本 Char"/>
    <w:basedOn w:val="a0"/>
    <w:link w:val="a5"/>
    <w:uiPriority w:val="99"/>
    <w:semiHidden/>
    <w:rsid w:val="008062FB"/>
    <w:rPr>
      <w:rFonts w:ascii="Tahoma" w:hAnsi="Tahoma" w:cs="Tahoma"/>
      <w:sz w:val="16"/>
      <w:szCs w:val="16"/>
    </w:rPr>
  </w:style>
  <w:style w:type="character" w:styleId="a6">
    <w:name w:val="annotation reference"/>
    <w:basedOn w:val="a0"/>
    <w:uiPriority w:val="99"/>
    <w:semiHidden/>
    <w:unhideWhenUsed/>
    <w:rsid w:val="00F72E74"/>
    <w:rPr>
      <w:sz w:val="16"/>
      <w:szCs w:val="16"/>
    </w:rPr>
  </w:style>
  <w:style w:type="paragraph" w:styleId="a7">
    <w:name w:val="annotation text"/>
    <w:basedOn w:val="a"/>
    <w:link w:val="Char2"/>
    <w:uiPriority w:val="99"/>
    <w:semiHidden/>
    <w:unhideWhenUsed/>
    <w:rsid w:val="00F72E74"/>
    <w:pPr>
      <w:spacing w:line="240" w:lineRule="auto"/>
    </w:pPr>
    <w:rPr>
      <w:sz w:val="20"/>
      <w:szCs w:val="20"/>
    </w:rPr>
  </w:style>
  <w:style w:type="character" w:customStyle="1" w:styleId="Char2">
    <w:name w:val="批注文字 Char"/>
    <w:basedOn w:val="a0"/>
    <w:link w:val="a7"/>
    <w:uiPriority w:val="99"/>
    <w:semiHidden/>
    <w:rsid w:val="00F72E74"/>
    <w:rPr>
      <w:sz w:val="20"/>
      <w:szCs w:val="20"/>
    </w:rPr>
  </w:style>
  <w:style w:type="paragraph" w:styleId="a8">
    <w:name w:val="annotation subject"/>
    <w:basedOn w:val="a7"/>
    <w:next w:val="a7"/>
    <w:link w:val="Char3"/>
    <w:uiPriority w:val="99"/>
    <w:semiHidden/>
    <w:unhideWhenUsed/>
    <w:rsid w:val="00F72E74"/>
    <w:rPr>
      <w:b/>
      <w:bCs/>
    </w:rPr>
  </w:style>
  <w:style w:type="character" w:customStyle="1" w:styleId="Char3">
    <w:name w:val="批注主题 Char"/>
    <w:basedOn w:val="Char2"/>
    <w:link w:val="a8"/>
    <w:uiPriority w:val="99"/>
    <w:semiHidden/>
    <w:rsid w:val="00F72E74"/>
    <w:rPr>
      <w:b/>
      <w:bCs/>
      <w:sz w:val="20"/>
      <w:szCs w:val="20"/>
    </w:rPr>
  </w:style>
  <w:style w:type="table" w:styleId="a9">
    <w:name w:val="Table Grid"/>
    <w:basedOn w:val="a1"/>
    <w:uiPriority w:val="59"/>
    <w:rsid w:val="00BB35B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498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FC7147-4C39-4631-9C4C-D720E32EC7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Freshfields Bruckhaus Deringer</Company>
  <LinksUpToDate>false</LinksUpToDate>
  <CharactersWithSpaces>1036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LAI, Xiaopeng</dc:creator>
  <cp:lastModifiedBy>Fangda Partners</cp:lastModifiedBy>
  <cp:revision>3</cp:revision>
  <dcterms:created xsi:type="dcterms:W3CDTF">2021-06-07T12:29:00Z</dcterms:created>
  <dcterms:modified xsi:type="dcterms:W3CDTF">2021-06-07T12:30:00Z</dcterms:modified>
</cp:coreProperties>
</file>