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56" w:afterLines="50"/>
        <w:jc w:val="center"/>
        <w:rPr>
          <w:rFonts w:eastAsia="宋体"/>
          <w:b/>
          <w:sz w:val="24"/>
          <w:szCs w:val="24"/>
        </w:rPr>
      </w:pPr>
      <w:r>
        <w:rPr>
          <w:rFonts w:eastAsia="宋体"/>
          <w:b/>
          <w:sz w:val="28"/>
          <w:szCs w:val="28"/>
        </w:rPr>
        <w:t>经营者集中简易案件公示表</w:t>
      </w:r>
    </w:p>
    <w:tbl>
      <w:tblPr>
        <w:tblStyle w:val="16"/>
        <w:tblW w:w="82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1719"/>
        <w:gridCol w:w="50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482" w:type="dxa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773" w:type="dxa"/>
            <w:gridSpan w:val="2"/>
            <w:vAlign w:val="center"/>
          </w:tcPr>
          <w:p>
            <w:pPr>
              <w:widowControl/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</w:rPr>
              <w:t>8 Sigma资本控股私人有限公司（“</w:t>
            </w:r>
            <w:r>
              <w:rPr>
                <w:rFonts w:hint="eastAsia" w:eastAsia="宋体"/>
                <w:b/>
                <w:bCs/>
                <w:sz w:val="24"/>
                <w:szCs w:val="24"/>
              </w:rPr>
              <w:t>8</w:t>
            </w:r>
            <w:r>
              <w:rPr>
                <w:rFonts w:eastAsia="宋体"/>
                <w:b/>
                <w:bCs/>
                <w:sz w:val="24"/>
                <w:szCs w:val="24"/>
              </w:rPr>
              <w:t xml:space="preserve"> Sigma</w:t>
            </w:r>
            <w:r>
              <w:rPr>
                <w:rFonts w:hint="eastAsia" w:eastAsia="宋体"/>
                <w:sz w:val="24"/>
                <w:szCs w:val="24"/>
              </w:rPr>
              <w:t>”）和Tiga投资私人有限公司（“</w:t>
            </w:r>
            <w:r>
              <w:rPr>
                <w:rFonts w:hint="eastAsia" w:eastAsia="宋体"/>
                <w:b/>
                <w:bCs/>
                <w:sz w:val="24"/>
                <w:szCs w:val="24"/>
              </w:rPr>
              <w:t>T</w:t>
            </w:r>
            <w:r>
              <w:rPr>
                <w:rFonts w:eastAsia="宋体"/>
                <w:b/>
                <w:bCs/>
                <w:sz w:val="24"/>
                <w:szCs w:val="24"/>
              </w:rPr>
              <w:t>iga</w:t>
            </w:r>
            <w:r>
              <w:rPr>
                <w:rFonts w:hint="eastAsia" w:eastAsia="宋体"/>
                <w:sz w:val="24"/>
                <w:szCs w:val="24"/>
              </w:rPr>
              <w:t>”）收购德事商务中心控股有限公司（“</w:t>
            </w:r>
            <w:r>
              <w:rPr>
                <w:rFonts w:hint="eastAsia" w:eastAsia="宋体"/>
                <w:b/>
                <w:bCs/>
                <w:sz w:val="24"/>
                <w:szCs w:val="24"/>
              </w:rPr>
              <w:t>目标公司</w:t>
            </w:r>
            <w:r>
              <w:rPr>
                <w:rFonts w:hint="eastAsia" w:eastAsia="宋体"/>
                <w:sz w:val="24"/>
                <w:szCs w:val="24"/>
              </w:rPr>
              <w:t>”）股权案（“</w:t>
            </w:r>
            <w:r>
              <w:rPr>
                <w:rFonts w:hint="eastAsia" w:eastAsia="宋体"/>
                <w:b/>
                <w:bCs/>
                <w:sz w:val="24"/>
                <w:szCs w:val="24"/>
              </w:rPr>
              <w:t>本次交易</w:t>
            </w:r>
            <w:r>
              <w:rPr>
                <w:rFonts w:hint="eastAsia" w:eastAsia="宋体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482" w:type="dxa"/>
            <w:shd w:val="clear" w:color="auto" w:fill="D9D9D9"/>
          </w:tcPr>
          <w:p>
            <w:pPr>
              <w:snapToGrid w:val="0"/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773" w:type="dxa"/>
            <w:gridSpan w:val="2"/>
          </w:tcPr>
          <w:p>
            <w:pPr>
              <w:rPr>
                <w:rFonts w:eastAsia="宋体"/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</w:rPr>
              <w:t>本次交易涉及8 Sigma和Tiga共同收购目标公司的多数股权。本次交易前，目标公司由SEA3有限责任公司、德事商务集团控股有限责任公司和德事商务中心名义持有人（PTC）有限责任公司持有。本次交易后，KKR公司（“</w:t>
            </w:r>
            <w:r>
              <w:rPr>
                <w:rFonts w:hint="eastAsia" w:eastAsia="宋体"/>
                <w:b/>
                <w:bCs/>
                <w:sz w:val="24"/>
                <w:szCs w:val="24"/>
              </w:rPr>
              <w:t>K</w:t>
            </w:r>
            <w:r>
              <w:rPr>
                <w:rFonts w:eastAsia="宋体"/>
                <w:b/>
                <w:bCs/>
                <w:sz w:val="24"/>
                <w:szCs w:val="24"/>
              </w:rPr>
              <w:t>KR</w:t>
            </w:r>
            <w:r>
              <w:rPr>
                <w:rFonts w:hint="eastAsia" w:eastAsia="宋体"/>
                <w:sz w:val="24"/>
                <w:szCs w:val="24"/>
              </w:rPr>
              <w:t>”）（通过8 Sigma和/或其他KKR关联公司）和Tiga将共同控制目标公司。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482" w:type="dxa"/>
            <w:vMerge w:val="restart"/>
            <w:shd w:val="clear" w:color="auto" w:fill="D9D9D9"/>
          </w:tcPr>
          <w:p>
            <w:pPr>
              <w:snapToGrid w:val="0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19" w:type="dxa"/>
          </w:tcPr>
          <w:p>
            <w:pPr>
              <w:pStyle w:val="27"/>
              <w:numPr>
                <w:ilvl w:val="0"/>
                <w:numId w:val="2"/>
              </w:numPr>
              <w:snapToGrid w:val="0"/>
              <w:spacing w:after="156" w:afterLines="50"/>
              <w:ind w:firstLineChars="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8 Sigma</w:t>
            </w:r>
          </w:p>
        </w:tc>
        <w:tc>
          <w:tcPr>
            <w:tcW w:w="5054" w:type="dxa"/>
          </w:tcPr>
          <w:p>
            <w:pPr>
              <w:pStyle w:val="31"/>
              <w:numPr>
                <w:ilvl w:val="0"/>
                <w:numId w:val="0"/>
              </w:numPr>
              <w:snapToGrid w:val="0"/>
              <w:spacing w:before="0" w:after="0"/>
              <w:jc w:val="both"/>
              <w:rPr>
                <w:rFonts w:eastAsia="宋体"/>
              </w:rPr>
            </w:pPr>
            <w:r>
              <w:rPr>
                <w:rFonts w:eastAsia="宋体"/>
              </w:rPr>
              <w:t>8 Sigma</w:t>
            </w:r>
            <w:r>
              <w:rPr>
                <w:rFonts w:hint="eastAsia" w:eastAsia="宋体"/>
              </w:rPr>
              <w:t>于新加坡成立，是一家由KKR控制的控股公司。</w:t>
            </w:r>
            <w:r>
              <w:t>KKR</w:t>
            </w:r>
            <w:r>
              <w:rPr>
                <w:rFonts w:hint="eastAsia"/>
              </w:rPr>
              <w:t>是一家全球性投资公司，提供另类资产管理、资本市场和保险解决方案。</w:t>
            </w:r>
            <w:r>
              <w:t xml:space="preserve"> KKR </w:t>
            </w:r>
            <w:r>
              <w:rPr>
                <w:rFonts w:hint="eastAsia"/>
              </w:rPr>
              <w:t>赞助投资于私募股权、信贷和房地产的投资基金，并拥有管理对冲基金的战略合作伙伴。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719" w:type="dxa"/>
          </w:tcPr>
          <w:p>
            <w:pPr>
              <w:pStyle w:val="27"/>
              <w:numPr>
                <w:ilvl w:val="0"/>
                <w:numId w:val="2"/>
              </w:numPr>
              <w:snapToGrid w:val="0"/>
              <w:spacing w:after="156" w:afterLines="50"/>
              <w:ind w:firstLineChars="0"/>
              <w:rPr>
                <w:rFonts w:eastAsia="宋体"/>
                <w:sz w:val="24"/>
                <w:szCs w:val="24"/>
                <w:lang w:val="en-GB"/>
              </w:rPr>
            </w:pPr>
            <w:r>
              <w:rPr>
                <w:rFonts w:eastAsia="宋体"/>
                <w:sz w:val="24"/>
                <w:szCs w:val="24"/>
              </w:rPr>
              <w:t xml:space="preserve">Tiga </w:t>
            </w:r>
          </w:p>
        </w:tc>
        <w:tc>
          <w:tcPr>
            <w:tcW w:w="5054" w:type="dxa"/>
          </w:tcPr>
          <w:p>
            <w:pPr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t>Tiga</w:t>
            </w:r>
            <w:r>
              <w:rPr>
                <w:rFonts w:hint="eastAsia" w:eastAsia="宋体"/>
                <w:sz w:val="24"/>
                <w:szCs w:val="24"/>
              </w:rPr>
              <w:t>于新加坡成立，主要持有对证券和基金的被动投资，以及在全球范围对公司的直接投资。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1719" w:type="dxa"/>
          </w:tcPr>
          <w:p>
            <w:pPr>
              <w:pStyle w:val="27"/>
              <w:numPr>
                <w:ilvl w:val="0"/>
                <w:numId w:val="2"/>
              </w:numPr>
              <w:snapToGrid w:val="0"/>
              <w:spacing w:after="156" w:afterLines="50"/>
              <w:ind w:firstLineChars="0"/>
              <w:rPr>
                <w:rFonts w:eastAsia="宋体"/>
                <w:sz w:val="24"/>
                <w:szCs w:val="24"/>
                <w:lang w:val="en-GB"/>
              </w:rPr>
            </w:pPr>
            <w:r>
              <w:rPr>
                <w:rFonts w:hint="eastAsia" w:eastAsia="宋体"/>
                <w:sz w:val="24"/>
                <w:szCs w:val="24"/>
                <w:lang w:val="en-GB"/>
              </w:rPr>
              <w:t>目标公司</w:t>
            </w:r>
          </w:p>
        </w:tc>
        <w:tc>
          <w:tcPr>
            <w:tcW w:w="5054" w:type="dxa"/>
          </w:tcPr>
          <w:p>
            <w:pPr>
              <w:snapToGrid w:val="0"/>
              <w:rPr>
                <w:rFonts w:eastAsia="宋体"/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</w:rPr>
              <w:t>目标公司于开曼群岛成立，主要提供灵活办公空间服务和相关支持服务。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482" w:type="dxa"/>
            <w:vMerge w:val="restart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73" w:type="dxa"/>
            <w:gridSpan w:val="2"/>
          </w:tcPr>
          <w:p>
            <w:pPr>
              <w:tabs>
                <w:tab w:val="left" w:pos="269"/>
              </w:tabs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</w:rPr>
              <w:sym w:font="Wingdings" w:char="F0FE"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 xml:space="preserve">1. </w:t>
            </w:r>
            <w:bookmarkStart w:id="0" w:name="OLE_LINK2"/>
            <w:r>
              <w:rPr>
                <w:rFonts w:eastAsia="宋体"/>
                <w:sz w:val="24"/>
                <w:szCs w:val="24"/>
              </w:rPr>
              <w:t>在同一相关市场，所有参与集中的经营者所占市场份额之和小于15%</w:t>
            </w:r>
            <w:bookmarkEnd w:id="0"/>
            <w:r>
              <w:rPr>
                <w:rFonts w:eastAsia="宋体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>
            <w:pPr>
              <w:tabs>
                <w:tab w:val="left" w:pos="269"/>
              </w:tabs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bookmarkStart w:id="1" w:name="OLE_LINK3"/>
            <w:r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bookmarkEnd w:id="1"/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>2. 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>
            <w:pPr>
              <w:tabs>
                <w:tab w:val="left" w:pos="269"/>
              </w:tabs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>3. 不在同一相关市场、也不存在</w:t>
            </w:r>
            <w:bookmarkStart w:id="3" w:name="_GoBack"/>
            <w:bookmarkEnd w:id="3"/>
            <w:r>
              <w:rPr>
                <w:rFonts w:eastAsia="宋体"/>
                <w:sz w:val="24"/>
                <w:szCs w:val="24"/>
              </w:rPr>
              <w:t>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>
            <w:pPr>
              <w:tabs>
                <w:tab w:val="left" w:pos="269"/>
              </w:tabs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>4. 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>
            <w:pPr>
              <w:tabs>
                <w:tab w:val="left" w:pos="269"/>
              </w:tabs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 xml:space="preserve">5. 参与集中的经营者收购境外企业股权或资产的，该境外企业不在中国境内从事经济活动。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482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/>
                <w:sz w:val="24"/>
                <w:szCs w:val="24"/>
              </w:rPr>
            </w:pPr>
          </w:p>
        </w:tc>
        <w:tc>
          <w:tcPr>
            <w:tcW w:w="6773" w:type="dxa"/>
            <w:gridSpan w:val="2"/>
          </w:tcPr>
          <w:p>
            <w:pPr>
              <w:tabs>
                <w:tab w:val="left" w:pos="269"/>
              </w:tabs>
              <w:snapToGrid w:val="0"/>
              <w:spacing w:after="156" w:afterLines="50"/>
              <w:rPr>
                <w:rFonts w:eastAsia="宋体"/>
                <w:sz w:val="24"/>
                <w:szCs w:val="24"/>
              </w:rPr>
            </w:pPr>
            <w:r>
              <w:rPr>
                <w:rFonts w:eastAsia="宋体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eastAsia="宋体"/>
                <w:sz w:val="24"/>
                <w:szCs w:val="24"/>
              </w:rPr>
              <w:tab/>
            </w:r>
            <w:r>
              <w:rPr>
                <w:rFonts w:eastAsia="宋体"/>
                <w:sz w:val="24"/>
                <w:szCs w:val="24"/>
              </w:rPr>
              <w:t>6. 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482" w:type="dxa"/>
            <w:shd w:val="clear" w:color="auto" w:fill="D9D9D9"/>
          </w:tcPr>
          <w:p>
            <w:pPr>
              <w:snapToGrid w:val="0"/>
              <w:spacing w:after="156" w:afterLines="50"/>
              <w:rPr>
                <w:rFonts w:eastAsia="宋体"/>
                <w:bCs/>
                <w:sz w:val="24"/>
                <w:szCs w:val="24"/>
              </w:rPr>
            </w:pPr>
            <w:r>
              <w:rPr>
                <w:rFonts w:eastAsia="宋体"/>
                <w:b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773" w:type="dxa"/>
            <w:gridSpan w:val="2"/>
          </w:tcPr>
          <w:p>
            <w:pPr>
              <w:widowControl/>
              <w:snapToGrid w:val="0"/>
              <w:spacing w:after="156" w:afterLines="50"/>
              <w:rPr>
                <w:rFonts w:eastAsia="宋体"/>
                <w:bCs/>
                <w:sz w:val="24"/>
                <w:szCs w:val="24"/>
              </w:rPr>
            </w:pPr>
            <w:r>
              <w:rPr>
                <w:rFonts w:hint="eastAsia" w:eastAsia="宋体"/>
                <w:b/>
                <w:bCs/>
                <w:sz w:val="24"/>
                <w:szCs w:val="24"/>
              </w:rPr>
              <w:t>相关产品</w:t>
            </w:r>
            <w:r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  <w:t>市场</w:t>
            </w:r>
            <w:r>
              <w:rPr>
                <w:rFonts w:hint="eastAsia" w:eastAsia="宋体"/>
                <w:bCs/>
                <w:sz w:val="24"/>
                <w:szCs w:val="24"/>
              </w:rPr>
              <w:t>：</w:t>
            </w:r>
            <w:r>
              <w:rPr>
                <w:rFonts w:hint="eastAsia" w:eastAsia="宋体"/>
                <w:bCs/>
                <w:sz w:val="24"/>
                <w:szCs w:val="24"/>
                <w:lang w:eastAsia="zh-CN"/>
              </w:rPr>
              <w:t>写字楼租赁</w:t>
            </w:r>
            <w:r>
              <w:rPr>
                <w:rFonts w:hint="eastAsia" w:eastAsia="宋体"/>
                <w:bCs/>
                <w:sz w:val="24"/>
                <w:szCs w:val="24"/>
              </w:rPr>
              <w:t>市场</w:t>
            </w:r>
          </w:p>
          <w:p>
            <w:pPr>
              <w:widowControl/>
              <w:snapToGrid w:val="0"/>
              <w:spacing w:after="156" w:afterLines="50"/>
              <w:rPr>
                <w:rFonts w:hint="eastAsia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b/>
                <w:bCs w:val="0"/>
                <w:sz w:val="24"/>
                <w:szCs w:val="24"/>
                <w:lang w:eastAsia="zh-CN"/>
              </w:rPr>
              <w:t>相关地域市场</w:t>
            </w:r>
            <w:r>
              <w:rPr>
                <w:rFonts w:hint="eastAsia" w:eastAsia="宋体"/>
                <w:bCs/>
                <w:sz w:val="24"/>
                <w:szCs w:val="24"/>
                <w:lang w:eastAsia="zh-CN"/>
              </w:rPr>
              <w:t>：上海市</w:t>
            </w:r>
          </w:p>
          <w:p>
            <w:pPr>
              <w:widowControl/>
              <w:snapToGrid w:val="0"/>
              <w:spacing w:after="156" w:afterLines="50"/>
              <w:rPr>
                <w:rFonts w:eastAsia="宋体"/>
                <w:bCs/>
                <w:sz w:val="24"/>
                <w:szCs w:val="24"/>
              </w:rPr>
            </w:pPr>
            <w:r>
              <w:rPr>
                <w:rFonts w:hint="eastAsia" w:eastAsia="宋体"/>
                <w:bCs/>
                <w:sz w:val="24"/>
                <w:szCs w:val="24"/>
                <w:lang w:eastAsia="zh-CN"/>
              </w:rPr>
              <w:t>参与集中的经营者</w:t>
            </w:r>
            <w:r>
              <w:rPr>
                <w:rFonts w:hint="eastAsia" w:eastAsia="宋体"/>
                <w:bCs/>
                <w:sz w:val="24"/>
                <w:szCs w:val="24"/>
              </w:rPr>
              <w:t>在相关市场的市场份额：</w:t>
            </w:r>
          </w:p>
          <w:p>
            <w:pPr>
              <w:widowControl/>
              <w:snapToGrid w:val="0"/>
              <w:spacing w:after="156" w:afterLines="50"/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KKR：</w:t>
            </w:r>
            <w:bookmarkStart w:id="2" w:name="OLE_LINK1"/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[0-5]%</w:t>
            </w:r>
          </w:p>
          <w:bookmarkEnd w:id="2"/>
          <w:p>
            <w:pPr>
              <w:widowControl/>
              <w:snapToGrid w:val="0"/>
              <w:spacing w:after="156" w:afterLines="50"/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目标公司：[0-5]%</w:t>
            </w:r>
          </w:p>
          <w:p>
            <w:pPr>
              <w:widowControl/>
              <w:snapToGrid w:val="0"/>
              <w:spacing w:after="156" w:afterLines="50"/>
              <w:rPr>
                <w:rFonts w:hint="default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bCs/>
                <w:sz w:val="24"/>
                <w:szCs w:val="24"/>
                <w:lang w:val="en-US" w:eastAsia="zh-CN"/>
              </w:rPr>
              <w:t>合计：[0-5]%</w:t>
            </w:r>
          </w:p>
        </w:tc>
      </w:tr>
    </w:tbl>
    <w:p>
      <w:pPr>
        <w:snapToGrid w:val="0"/>
        <w:spacing w:after="156" w:afterLines="50"/>
        <w:rPr>
          <w:rFonts w:eastAsia="宋体"/>
          <w:sz w:val="24"/>
          <w:szCs w:val="24"/>
        </w:rPr>
      </w:pPr>
    </w:p>
    <w:sectPr>
      <w:footerReference r:id="rId6" w:type="first"/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Times New Roman Regular">
    <w:altName w:val="Arial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2</w:t>
    </w:r>
    <w:r>
      <w:rPr>
        <w:b/>
        <w:sz w:val="24"/>
        <w:szCs w:val="24"/>
      </w:rPr>
      <w:fldChar w:fldCharType="end"/>
    </w:r>
  </w:p>
  <w:p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  <w:r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>
      <w:fldChar w:fldCharType="separate"/>
    </w:r>
    <w:r>
      <w:t>[BRUSSELS 621754_4]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</w:pPr>
    <w:r>
      <w:fldChar w:fldCharType="begin"/>
    </w:r>
    <w:r>
      <w:instrText xml:space="preserve"> DOCPROPERTY DOCXDOCID DMS=InterwovenIManage Format=[&lt;&lt;LIB&gt;&gt; &lt;&lt;NUM&gt;&gt;_&lt;&lt;VER&gt;&gt;] PRESERVELOCATION \* MERGEFORMAT </w:instrText>
    </w:r>
    <w:r>
      <w:fldChar w:fldCharType="separate"/>
    </w:r>
    <w:r>
      <w:t>[BRUSSELS 621754_4]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A4B6A"/>
    <w:multiLevelType w:val="multilevel"/>
    <w:tmpl w:val="433A4B6A"/>
    <w:lvl w:ilvl="0" w:tentative="0">
      <w:start w:val="1"/>
      <w:numFmt w:val="decimal"/>
      <w:pStyle w:val="30"/>
      <w:lvlText w:val="%1."/>
      <w:lvlJc w:val="left"/>
      <w:pPr>
        <w:ind w:left="720" w:hanging="720"/>
      </w:pPr>
      <w:rPr>
        <w:rFonts w:hint="default"/>
        <w:color w:val="000000"/>
      </w:rPr>
    </w:lvl>
    <w:lvl w:ilvl="1" w:tentative="0">
      <w:start w:val="1"/>
      <w:numFmt w:val="lowerLetter"/>
      <w:pStyle w:val="31"/>
      <w:lvlText w:val="(%2)"/>
      <w:lvlJc w:val="left"/>
      <w:pPr>
        <w:ind w:left="1440" w:hanging="720"/>
      </w:pPr>
      <w:rPr>
        <w:rFonts w:hint="default"/>
        <w:color w:val="000000"/>
      </w:rPr>
    </w:lvl>
    <w:lvl w:ilvl="2" w:tentative="0">
      <w:start w:val="1"/>
      <w:numFmt w:val="lowerRoman"/>
      <w:pStyle w:val="32"/>
      <w:lvlText w:val="(%3)"/>
      <w:lvlJc w:val="left"/>
      <w:pPr>
        <w:ind w:left="2160" w:hanging="720"/>
      </w:pPr>
      <w:rPr>
        <w:rFonts w:hint="default"/>
        <w:color w:val="000000"/>
      </w:rPr>
    </w:lvl>
    <w:lvl w:ilvl="3" w:tentative="0">
      <w:start w:val="1"/>
      <w:numFmt w:val="decimal"/>
      <w:pStyle w:val="33"/>
      <w:lvlText w:val="(%4)"/>
      <w:lvlJc w:val="left"/>
      <w:pPr>
        <w:ind w:left="2880" w:hanging="720"/>
      </w:pPr>
      <w:rPr>
        <w:rFonts w:hint="default"/>
        <w:color w:val="000000"/>
      </w:rPr>
    </w:lvl>
    <w:lvl w:ilvl="4" w:tentative="0">
      <w:start w:val="1"/>
      <w:numFmt w:val="lowerLetter"/>
      <w:pStyle w:val="34"/>
      <w:lvlText w:val="(%5)"/>
      <w:lvlJc w:val="left"/>
      <w:pPr>
        <w:ind w:left="3600" w:hanging="720"/>
      </w:pPr>
      <w:rPr>
        <w:rFonts w:hint="default"/>
        <w:color w:val="000000"/>
      </w:rPr>
    </w:lvl>
    <w:lvl w:ilvl="5" w:tentative="0">
      <w:start w:val="1"/>
      <w:numFmt w:val="none"/>
      <w:lvlText w:val=""/>
      <w:lvlJc w:val="left"/>
      <w:pPr>
        <w:tabs>
          <w:tab w:val="left" w:pos="5040"/>
        </w:tabs>
        <w:ind w:left="4320" w:hanging="72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5760"/>
        </w:tabs>
        <w:ind w:left="5040" w:hanging="72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6480"/>
        </w:tabs>
        <w:ind w:left="5760" w:hanging="72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7200"/>
        </w:tabs>
        <w:ind w:left="6480" w:hanging="720"/>
      </w:pPr>
      <w:rPr>
        <w:rFonts w:hint="default"/>
      </w:rPr>
    </w:lvl>
  </w:abstractNum>
  <w:abstractNum w:abstractNumId="1">
    <w:nsid w:val="43635FF0"/>
    <w:multiLevelType w:val="multilevel"/>
    <w:tmpl w:val="43635F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 w:val="1"/>
  <w:bordersDoNotSurroundFooter w:val="1"/>
  <w:documentProtection w:enforcement="0"/>
  <w:styleLockQFSet/>
  <w:defaultTabStop w:val="420"/>
  <w:drawingGridVerticalSpacing w:val="156"/>
  <w:displayHorizontalDrawingGridEvery w:val="0"/>
  <w:displayVerticalDrawingGridEvery w:val="2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heckedForWebBugs" w:val="True"/>
  </w:docVars>
  <w:rsids>
    <w:rsidRoot w:val="00D6778B"/>
    <w:rsid w:val="00007061"/>
    <w:rsid w:val="000371C1"/>
    <w:rsid w:val="0005462A"/>
    <w:rsid w:val="00076269"/>
    <w:rsid w:val="0008379D"/>
    <w:rsid w:val="00084038"/>
    <w:rsid w:val="0008490E"/>
    <w:rsid w:val="000A36AF"/>
    <w:rsid w:val="000C558B"/>
    <w:rsid w:val="000D6FDA"/>
    <w:rsid w:val="0010444C"/>
    <w:rsid w:val="00113C65"/>
    <w:rsid w:val="001360E4"/>
    <w:rsid w:val="00137982"/>
    <w:rsid w:val="0014065D"/>
    <w:rsid w:val="0016168E"/>
    <w:rsid w:val="00170F5A"/>
    <w:rsid w:val="0017314B"/>
    <w:rsid w:val="0017665A"/>
    <w:rsid w:val="00185E0C"/>
    <w:rsid w:val="00190FE8"/>
    <w:rsid w:val="00193719"/>
    <w:rsid w:val="00193E6F"/>
    <w:rsid w:val="001A160E"/>
    <w:rsid w:val="001A3E37"/>
    <w:rsid w:val="001C7EE1"/>
    <w:rsid w:val="001E7969"/>
    <w:rsid w:val="00221612"/>
    <w:rsid w:val="00224EF9"/>
    <w:rsid w:val="002448A9"/>
    <w:rsid w:val="00246605"/>
    <w:rsid w:val="00273DAA"/>
    <w:rsid w:val="00274EF0"/>
    <w:rsid w:val="00280BEB"/>
    <w:rsid w:val="002923BF"/>
    <w:rsid w:val="002B3DEA"/>
    <w:rsid w:val="00303A7E"/>
    <w:rsid w:val="00313079"/>
    <w:rsid w:val="00315FD7"/>
    <w:rsid w:val="00332D9A"/>
    <w:rsid w:val="00341335"/>
    <w:rsid w:val="003560A1"/>
    <w:rsid w:val="003734D4"/>
    <w:rsid w:val="00376BDB"/>
    <w:rsid w:val="00383C11"/>
    <w:rsid w:val="00383CA2"/>
    <w:rsid w:val="00390C95"/>
    <w:rsid w:val="003A26B0"/>
    <w:rsid w:val="003C37CF"/>
    <w:rsid w:val="003D26DD"/>
    <w:rsid w:val="003F0EDD"/>
    <w:rsid w:val="00400A16"/>
    <w:rsid w:val="00412690"/>
    <w:rsid w:val="0041322C"/>
    <w:rsid w:val="00454C28"/>
    <w:rsid w:val="00463B3D"/>
    <w:rsid w:val="00477BD8"/>
    <w:rsid w:val="00482EF2"/>
    <w:rsid w:val="004935F2"/>
    <w:rsid w:val="004A4D20"/>
    <w:rsid w:val="004A61BA"/>
    <w:rsid w:val="004A69BE"/>
    <w:rsid w:val="004A6BF8"/>
    <w:rsid w:val="004B109C"/>
    <w:rsid w:val="004C470D"/>
    <w:rsid w:val="004E07BC"/>
    <w:rsid w:val="00514940"/>
    <w:rsid w:val="00515E53"/>
    <w:rsid w:val="00526246"/>
    <w:rsid w:val="0055627A"/>
    <w:rsid w:val="00561390"/>
    <w:rsid w:val="00561400"/>
    <w:rsid w:val="005622DD"/>
    <w:rsid w:val="005636F0"/>
    <w:rsid w:val="00566967"/>
    <w:rsid w:val="005843DE"/>
    <w:rsid w:val="0059594E"/>
    <w:rsid w:val="005A67B5"/>
    <w:rsid w:val="005B51D4"/>
    <w:rsid w:val="005B5ACB"/>
    <w:rsid w:val="005D0857"/>
    <w:rsid w:val="005D34DE"/>
    <w:rsid w:val="005D3868"/>
    <w:rsid w:val="006024A8"/>
    <w:rsid w:val="00613B34"/>
    <w:rsid w:val="00635934"/>
    <w:rsid w:val="006431DE"/>
    <w:rsid w:val="00655B8A"/>
    <w:rsid w:val="006570D5"/>
    <w:rsid w:val="006646C2"/>
    <w:rsid w:val="00676D2E"/>
    <w:rsid w:val="00676EE5"/>
    <w:rsid w:val="006A6DE6"/>
    <w:rsid w:val="006B1470"/>
    <w:rsid w:val="006B47CC"/>
    <w:rsid w:val="006C4EE1"/>
    <w:rsid w:val="006D7E68"/>
    <w:rsid w:val="006E164E"/>
    <w:rsid w:val="006F285F"/>
    <w:rsid w:val="006F7968"/>
    <w:rsid w:val="00720A5B"/>
    <w:rsid w:val="0072452C"/>
    <w:rsid w:val="00725847"/>
    <w:rsid w:val="00735ACE"/>
    <w:rsid w:val="0074536F"/>
    <w:rsid w:val="00766D72"/>
    <w:rsid w:val="0077797F"/>
    <w:rsid w:val="0078577D"/>
    <w:rsid w:val="007930C1"/>
    <w:rsid w:val="007A3A3B"/>
    <w:rsid w:val="007A3E32"/>
    <w:rsid w:val="007A50C8"/>
    <w:rsid w:val="007C40DF"/>
    <w:rsid w:val="007E4097"/>
    <w:rsid w:val="007E4321"/>
    <w:rsid w:val="007E4BB2"/>
    <w:rsid w:val="007F5A38"/>
    <w:rsid w:val="007F69D5"/>
    <w:rsid w:val="00805768"/>
    <w:rsid w:val="0083410B"/>
    <w:rsid w:val="0084203B"/>
    <w:rsid w:val="008426B8"/>
    <w:rsid w:val="008437A7"/>
    <w:rsid w:val="00871B17"/>
    <w:rsid w:val="008879A2"/>
    <w:rsid w:val="008B36D9"/>
    <w:rsid w:val="008D0918"/>
    <w:rsid w:val="008E2E40"/>
    <w:rsid w:val="008F7425"/>
    <w:rsid w:val="009015F0"/>
    <w:rsid w:val="0091339B"/>
    <w:rsid w:val="00915C67"/>
    <w:rsid w:val="00920035"/>
    <w:rsid w:val="009411EB"/>
    <w:rsid w:val="00947BCA"/>
    <w:rsid w:val="00973A0F"/>
    <w:rsid w:val="00982AB2"/>
    <w:rsid w:val="00984F37"/>
    <w:rsid w:val="00996FBF"/>
    <w:rsid w:val="009A5539"/>
    <w:rsid w:val="009B2AF2"/>
    <w:rsid w:val="009C232A"/>
    <w:rsid w:val="009D46AD"/>
    <w:rsid w:val="00A13767"/>
    <w:rsid w:val="00A3788A"/>
    <w:rsid w:val="00A445A7"/>
    <w:rsid w:val="00A5421C"/>
    <w:rsid w:val="00A82893"/>
    <w:rsid w:val="00A96035"/>
    <w:rsid w:val="00AA13BC"/>
    <w:rsid w:val="00AA16A9"/>
    <w:rsid w:val="00AB6FB4"/>
    <w:rsid w:val="00AC2A8A"/>
    <w:rsid w:val="00AD42BF"/>
    <w:rsid w:val="00AF77C6"/>
    <w:rsid w:val="00B21C4C"/>
    <w:rsid w:val="00B31EA7"/>
    <w:rsid w:val="00B33031"/>
    <w:rsid w:val="00B36128"/>
    <w:rsid w:val="00B40986"/>
    <w:rsid w:val="00B93C04"/>
    <w:rsid w:val="00BA179B"/>
    <w:rsid w:val="00BA6B56"/>
    <w:rsid w:val="00BB4A74"/>
    <w:rsid w:val="00BC3F7B"/>
    <w:rsid w:val="00BD01E3"/>
    <w:rsid w:val="00BD05AF"/>
    <w:rsid w:val="00BE14C3"/>
    <w:rsid w:val="00BE1A12"/>
    <w:rsid w:val="00BE27CB"/>
    <w:rsid w:val="00C155EF"/>
    <w:rsid w:val="00C1621F"/>
    <w:rsid w:val="00C35FB0"/>
    <w:rsid w:val="00C42018"/>
    <w:rsid w:val="00C62577"/>
    <w:rsid w:val="00C7167B"/>
    <w:rsid w:val="00C77F78"/>
    <w:rsid w:val="00C82D5C"/>
    <w:rsid w:val="00C978AB"/>
    <w:rsid w:val="00CB25D6"/>
    <w:rsid w:val="00CC3523"/>
    <w:rsid w:val="00CF4574"/>
    <w:rsid w:val="00D25ED8"/>
    <w:rsid w:val="00D3649F"/>
    <w:rsid w:val="00D4484D"/>
    <w:rsid w:val="00D47B9A"/>
    <w:rsid w:val="00D51A37"/>
    <w:rsid w:val="00D6778B"/>
    <w:rsid w:val="00D71129"/>
    <w:rsid w:val="00D83BB6"/>
    <w:rsid w:val="00D90B1F"/>
    <w:rsid w:val="00D94857"/>
    <w:rsid w:val="00DA293C"/>
    <w:rsid w:val="00DA3B5E"/>
    <w:rsid w:val="00DB2ACB"/>
    <w:rsid w:val="00DC2654"/>
    <w:rsid w:val="00DD0D07"/>
    <w:rsid w:val="00DD38EC"/>
    <w:rsid w:val="00DD7311"/>
    <w:rsid w:val="00DE2385"/>
    <w:rsid w:val="00DE733F"/>
    <w:rsid w:val="00E04C45"/>
    <w:rsid w:val="00E118CA"/>
    <w:rsid w:val="00E2088A"/>
    <w:rsid w:val="00E43F9F"/>
    <w:rsid w:val="00E7078B"/>
    <w:rsid w:val="00E70CE7"/>
    <w:rsid w:val="00E7733A"/>
    <w:rsid w:val="00E77CEA"/>
    <w:rsid w:val="00ED6CCE"/>
    <w:rsid w:val="00EF63D0"/>
    <w:rsid w:val="00F07A95"/>
    <w:rsid w:val="00F239C4"/>
    <w:rsid w:val="00F262B1"/>
    <w:rsid w:val="00F31F64"/>
    <w:rsid w:val="00F328B7"/>
    <w:rsid w:val="00F34A58"/>
    <w:rsid w:val="00F41631"/>
    <w:rsid w:val="00F66787"/>
    <w:rsid w:val="00F67AF9"/>
    <w:rsid w:val="00F72431"/>
    <w:rsid w:val="00F77445"/>
    <w:rsid w:val="00FC0B01"/>
    <w:rsid w:val="00FC23B0"/>
    <w:rsid w:val="00FC43A7"/>
    <w:rsid w:val="00FE43BA"/>
    <w:rsid w:val="00FF2BA0"/>
    <w:rsid w:val="404D2659"/>
    <w:rsid w:val="4444746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4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subject"/>
    <w:basedOn w:val="4"/>
    <w:next w:val="4"/>
    <w:link w:val="36"/>
    <w:semiHidden/>
    <w:unhideWhenUsed/>
    <w:qFormat/>
    <w:uiPriority w:val="99"/>
    <w:rPr>
      <w:b/>
      <w:bCs/>
    </w:rPr>
  </w:style>
  <w:style w:type="paragraph" w:styleId="4">
    <w:name w:val="annotation text"/>
    <w:basedOn w:val="1"/>
    <w:link w:val="35"/>
    <w:semiHidden/>
    <w:unhideWhenUsed/>
    <w:qFormat/>
    <w:uiPriority w:val="99"/>
    <w:pPr>
      <w:jc w:val="left"/>
    </w:pPr>
  </w:style>
  <w:style w:type="paragraph" w:styleId="5">
    <w:name w:val="macro"/>
    <w:link w:val="29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Times New Roman" w:eastAsiaTheme="minorEastAsia"/>
      <w:kern w:val="2"/>
      <w:lang w:val="en-US" w:eastAsia="zh-CN" w:bidi="ar-SA"/>
    </w:rPr>
  </w:style>
  <w:style w:type="paragraph" w:styleId="6">
    <w:name w:val="endnote text"/>
    <w:basedOn w:val="1"/>
    <w:link w:val="18"/>
    <w:semiHidden/>
    <w:unhideWhenUsed/>
    <w:qFormat/>
    <w:uiPriority w:val="99"/>
    <w:pPr>
      <w:snapToGrid w:val="0"/>
      <w:jc w:val="left"/>
    </w:pPr>
  </w:style>
  <w:style w:type="paragraph" w:styleId="7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21"/>
    <w:unhideWhenUsed/>
    <w:qFormat/>
    <w:uiPriority w:val="40"/>
    <w:pPr>
      <w:snapToGrid w:val="0"/>
      <w:jc w:val="left"/>
    </w:pPr>
    <w:rPr>
      <w:sz w:val="18"/>
      <w:szCs w:val="18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unhideWhenUsed/>
    <w:qFormat/>
    <w:uiPriority w:val="99"/>
    <w:rPr>
      <w:vertAlign w:val="superscript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8">
    <w:name w:val="尾注文本 字符"/>
    <w:basedOn w:val="11"/>
    <w:link w:val="6"/>
    <w:semiHidden/>
    <w:qFormat/>
    <w:uiPriority w:val="99"/>
  </w:style>
  <w:style w:type="character" w:customStyle="1" w:styleId="19">
    <w:name w:val="页眉 字符"/>
    <w:link w:val="9"/>
    <w:qFormat/>
    <w:uiPriority w:val="99"/>
    <w:rPr>
      <w:sz w:val="18"/>
      <w:szCs w:val="18"/>
    </w:rPr>
  </w:style>
  <w:style w:type="character" w:customStyle="1" w:styleId="20">
    <w:name w:val="页脚 字符"/>
    <w:link w:val="8"/>
    <w:qFormat/>
    <w:uiPriority w:val="99"/>
    <w:rPr>
      <w:sz w:val="18"/>
      <w:szCs w:val="18"/>
    </w:rPr>
  </w:style>
  <w:style w:type="character" w:customStyle="1" w:styleId="21">
    <w:name w:val="脚注文本 字符"/>
    <w:link w:val="10"/>
    <w:qFormat/>
    <w:uiPriority w:val="40"/>
    <w:rPr>
      <w:rFonts w:ascii="Times New Roman" w:hAnsi="Times New Roman"/>
      <w:kern w:val="2"/>
      <w:sz w:val="18"/>
      <w:szCs w:val="18"/>
    </w:rPr>
  </w:style>
  <w:style w:type="character" w:customStyle="1" w:styleId="22">
    <w:name w:val="apple-converted-space"/>
    <w:basedOn w:val="11"/>
    <w:qFormat/>
    <w:uiPriority w:val="0"/>
  </w:style>
  <w:style w:type="character" w:customStyle="1" w:styleId="23">
    <w:name w:val="批注框文本 字符"/>
    <w:basedOn w:val="11"/>
    <w:link w:val="7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4">
    <w:name w:val="AMLNotify Cont 3"/>
    <w:basedOn w:val="1"/>
    <w:qFormat/>
    <w:uiPriority w:val="0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25">
    <w:name w:val="DocId"/>
    <w:basedOn w:val="8"/>
    <w:qFormat/>
    <w:uiPriority w:val="0"/>
    <w:pPr>
      <w:widowControl/>
      <w:tabs>
        <w:tab w:val="center" w:pos="4680"/>
        <w:tab w:val="right" w:pos="9360"/>
        <w:tab w:val="clear" w:pos="4153"/>
        <w:tab w:val="clear" w:pos="8306"/>
      </w:tabs>
      <w:snapToGrid/>
    </w:pPr>
    <w:rPr>
      <w:rFonts w:cstheme="minorBidi"/>
      <w:kern w:val="0"/>
      <w:sz w:val="16"/>
      <w:szCs w:val="16"/>
      <w:lang w:eastAsia="en-US"/>
    </w:rPr>
  </w:style>
  <w:style w:type="paragraph" w:customStyle="1" w:styleId="26">
    <w:name w:val="Revision"/>
    <w:hidden/>
    <w:semiHidden/>
    <w:qFormat/>
    <w:uiPriority w:val="99"/>
    <w:rPr>
      <w:rFonts w:ascii="Times New Roman" w:hAnsi="Times New Roman" w:cs="Times New Roman" w:eastAsiaTheme="minorEastAsia"/>
      <w:kern w:val="2"/>
      <w:sz w:val="21"/>
      <w:szCs w:val="22"/>
      <w:lang w:val="en-US" w:eastAsia="zh-CN" w:bidi="ar-SA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kern w:val="2"/>
      <w:sz w:val="28"/>
      <w:szCs w:val="28"/>
    </w:rPr>
  </w:style>
  <w:style w:type="character" w:customStyle="1" w:styleId="29">
    <w:name w:val="宏文本 字符"/>
    <w:basedOn w:val="11"/>
    <w:link w:val="5"/>
    <w:semiHidden/>
    <w:qFormat/>
    <w:uiPriority w:val="99"/>
    <w:rPr>
      <w:rFonts w:ascii="Consolas" w:hAnsi="Consolas"/>
      <w:kern w:val="2"/>
    </w:rPr>
  </w:style>
  <w:style w:type="paragraph" w:customStyle="1" w:styleId="30">
    <w:name w:val="ShortOutline1"/>
    <w:basedOn w:val="1"/>
    <w:uiPriority w:val="4"/>
    <w:pPr>
      <w:widowControl/>
      <w:numPr>
        <w:ilvl w:val="0"/>
        <w:numId w:val="1"/>
      </w:numPr>
      <w:spacing w:before="240" w:after="240"/>
      <w:jc w:val="left"/>
    </w:pPr>
    <w:rPr>
      <w:kern w:val="0"/>
      <w:sz w:val="24"/>
      <w:szCs w:val="24"/>
      <w:lang w:bidi="he-IL"/>
    </w:rPr>
  </w:style>
  <w:style w:type="paragraph" w:customStyle="1" w:styleId="31">
    <w:name w:val="ShortOutline2"/>
    <w:basedOn w:val="1"/>
    <w:qFormat/>
    <w:uiPriority w:val="4"/>
    <w:pPr>
      <w:widowControl/>
      <w:numPr>
        <w:ilvl w:val="1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32">
    <w:name w:val="ShortOutline3"/>
    <w:basedOn w:val="1"/>
    <w:qFormat/>
    <w:uiPriority w:val="4"/>
    <w:pPr>
      <w:widowControl/>
      <w:numPr>
        <w:ilvl w:val="2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33">
    <w:name w:val="ShortOutline4"/>
    <w:basedOn w:val="1"/>
    <w:qFormat/>
    <w:uiPriority w:val="4"/>
    <w:pPr>
      <w:widowControl/>
      <w:numPr>
        <w:ilvl w:val="3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paragraph" w:customStyle="1" w:styleId="34">
    <w:name w:val="ShortOutline5"/>
    <w:basedOn w:val="1"/>
    <w:qFormat/>
    <w:uiPriority w:val="4"/>
    <w:pPr>
      <w:widowControl/>
      <w:numPr>
        <w:ilvl w:val="4"/>
        <w:numId w:val="1"/>
      </w:numPr>
      <w:spacing w:before="240" w:after="240"/>
      <w:jc w:val="left"/>
    </w:pPr>
    <w:rPr>
      <w:color w:val="000000"/>
      <w:kern w:val="0"/>
      <w:sz w:val="24"/>
      <w:szCs w:val="24"/>
      <w:lang w:bidi="he-IL"/>
    </w:rPr>
  </w:style>
  <w:style w:type="character" w:customStyle="1" w:styleId="35">
    <w:name w:val="批注文字 字符"/>
    <w:basedOn w:val="11"/>
    <w:link w:val="4"/>
    <w:semiHidden/>
    <w:qFormat/>
    <w:uiPriority w:val="99"/>
    <w:rPr>
      <w:rFonts w:ascii="Times New Roman" w:hAnsi="Times New Roman"/>
      <w:kern w:val="2"/>
      <w:sz w:val="21"/>
      <w:szCs w:val="22"/>
    </w:rPr>
  </w:style>
  <w:style w:type="character" w:customStyle="1" w:styleId="36">
    <w:name w:val="批注主题 字符"/>
    <w:basedOn w:val="35"/>
    <w:link w:val="3"/>
    <w:semiHidden/>
    <w:qFormat/>
    <w:uiPriority w:val="99"/>
    <w:rPr>
      <w:rFonts w:ascii="Times New Roman" w:hAnsi="Times New Roman"/>
      <w:b/>
      <w:bCs/>
      <w:kern w:val="2"/>
      <w:sz w:val="21"/>
      <w:szCs w:val="22"/>
    </w:rPr>
  </w:style>
  <w:style w:type="character" w:customStyle="1" w:styleId="37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150ACD-B515-4BEC-A9E7-E0352B5180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143</Words>
  <Characters>818</Characters>
  <Lines>6</Lines>
  <Paragraphs>1</Paragraphs>
  <TotalTime>0</TotalTime>
  <ScaleCrop>false</ScaleCrop>
  <LinksUpToDate>false</LinksUpToDate>
  <CharactersWithSpaces>960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2021-06-15T23:10:00Z</dcterms:created>
  <dcterms:modified xsi:type="dcterms:W3CDTF">2021-07-13T06:25:28Z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