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08237" w14:textId="77777777" w:rsidR="000B323B" w:rsidRPr="000B323B" w:rsidRDefault="000B323B" w:rsidP="000B323B">
      <w:pPr>
        <w:widowControl w:val="0"/>
        <w:spacing w:after="0" w:line="440" w:lineRule="exact"/>
        <w:jc w:val="center"/>
        <w:rPr>
          <w:rFonts w:ascii="Times New Roman" w:eastAsia="仿宋_GB2312" w:hAnsi="Times New Roman" w:cs="Times New Roman"/>
          <w:kern w:val="2"/>
          <w:sz w:val="30"/>
          <w:szCs w:val="30"/>
        </w:rPr>
      </w:pPr>
      <w:r w:rsidRPr="000B323B">
        <w:rPr>
          <w:rFonts w:ascii="Times New Roman" w:eastAsia="仿宋_GB2312" w:hAnsi="Times New Roman" w:cs="Times New Roman"/>
          <w:kern w:val="2"/>
          <w:sz w:val="30"/>
          <w:szCs w:val="30"/>
        </w:rPr>
        <w:t>经营者集中简易案件公示表</w:t>
      </w:r>
    </w:p>
    <w:p w14:paraId="16C0308E" w14:textId="77777777" w:rsidR="000B323B" w:rsidRPr="000B323B" w:rsidRDefault="000B323B" w:rsidP="000B323B">
      <w:pPr>
        <w:widowControl w:val="0"/>
        <w:spacing w:after="0" w:line="440" w:lineRule="exact"/>
        <w:ind w:firstLineChars="302" w:firstLine="846"/>
        <w:jc w:val="both"/>
        <w:rPr>
          <w:rFonts w:ascii="Times New Roman" w:eastAsia="仿宋_GB2312" w:hAnsi="Times New Roman" w:cs="Times New Roman"/>
          <w:kern w:val="2"/>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B323B" w:rsidRPr="000B323B" w14:paraId="1795CAAD" w14:textId="77777777" w:rsidTr="00C264FA">
        <w:tc>
          <w:tcPr>
            <w:tcW w:w="1809" w:type="dxa"/>
            <w:shd w:val="clear" w:color="auto" w:fill="D9D9D9"/>
            <w:vAlign w:val="center"/>
          </w:tcPr>
          <w:p w14:paraId="66137061"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案件名称</w:t>
            </w:r>
          </w:p>
        </w:tc>
        <w:tc>
          <w:tcPr>
            <w:tcW w:w="6949" w:type="dxa"/>
            <w:gridSpan w:val="2"/>
          </w:tcPr>
          <w:p w14:paraId="12CB2D4E" w14:textId="2C10FCC2"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hint="eastAsia"/>
                <w:color w:val="333333"/>
                <w:sz w:val="24"/>
                <w:szCs w:val="24"/>
                <w:bdr w:val="none" w:sz="0" w:space="0" w:color="auto" w:frame="1"/>
              </w:rPr>
              <w:t>中金资本运营有限公司与湖南财信金融控股集团有限公司新设合营企业案</w:t>
            </w:r>
          </w:p>
        </w:tc>
      </w:tr>
      <w:tr w:rsidR="000B323B" w:rsidRPr="000B323B" w14:paraId="6CC6C7C6" w14:textId="77777777" w:rsidTr="00C264FA">
        <w:trPr>
          <w:trHeight w:val="993"/>
        </w:trPr>
        <w:tc>
          <w:tcPr>
            <w:tcW w:w="1809" w:type="dxa"/>
            <w:shd w:val="clear" w:color="auto" w:fill="D9D9D9"/>
            <w:vAlign w:val="center"/>
          </w:tcPr>
          <w:p w14:paraId="688D114F"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交易概况</w:t>
            </w:r>
          </w:p>
          <w:p w14:paraId="06DDE1F6"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（限</w:t>
            </w:r>
            <w:r w:rsidRPr="000B323B">
              <w:rPr>
                <w:rFonts w:ascii="Times New Roman" w:eastAsia="仿宋_GB2312" w:hAnsi="Times New Roman" w:cs="Times New Roman"/>
                <w:color w:val="333333"/>
                <w:sz w:val="24"/>
                <w:szCs w:val="24"/>
                <w:bdr w:val="none" w:sz="0" w:space="0" w:color="auto" w:frame="1"/>
              </w:rPr>
              <w:t>200</w:t>
            </w:r>
            <w:r w:rsidRPr="000B323B">
              <w:rPr>
                <w:rFonts w:ascii="Times New Roman" w:eastAsia="仿宋_GB2312" w:hAnsi="Times New Roman" w:cs="Times New Roman"/>
                <w:color w:val="333333"/>
                <w:sz w:val="24"/>
                <w:szCs w:val="24"/>
                <w:bdr w:val="none" w:sz="0" w:space="0" w:color="auto" w:frame="1"/>
              </w:rPr>
              <w:t>字内）</w:t>
            </w:r>
          </w:p>
        </w:tc>
        <w:tc>
          <w:tcPr>
            <w:tcW w:w="6949" w:type="dxa"/>
            <w:gridSpan w:val="2"/>
          </w:tcPr>
          <w:p w14:paraId="0932612E" w14:textId="7887B8E3"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hint="eastAsia"/>
                <w:color w:val="333333"/>
                <w:sz w:val="24"/>
                <w:szCs w:val="24"/>
                <w:bdr w:val="none" w:sz="0" w:space="0" w:color="auto" w:frame="1"/>
              </w:rPr>
              <w:t>中金资本运营有限公司（“中金资本”）和湖南财信金融控股集团有限公司（“财信金控”）拟</w:t>
            </w:r>
            <w:r>
              <w:rPr>
                <w:rFonts w:ascii="Times New Roman" w:eastAsia="仿宋_GB2312" w:hAnsi="Times New Roman" w:cs="Times New Roman" w:hint="eastAsia"/>
                <w:color w:val="333333"/>
                <w:sz w:val="24"/>
                <w:szCs w:val="24"/>
                <w:bdr w:val="none" w:sz="0" w:space="0" w:color="auto" w:frame="1"/>
              </w:rPr>
              <w:t>共同出资</w:t>
            </w:r>
            <w:r w:rsidRPr="000B323B">
              <w:rPr>
                <w:rFonts w:ascii="Times New Roman" w:eastAsia="仿宋_GB2312" w:hAnsi="Times New Roman" w:cs="Times New Roman" w:hint="eastAsia"/>
                <w:color w:val="333333"/>
                <w:sz w:val="24"/>
                <w:szCs w:val="24"/>
                <w:bdr w:val="none" w:sz="0" w:space="0" w:color="auto" w:frame="1"/>
              </w:rPr>
              <w:t>设立一家合营企业（“合营企业”）。本次交易后，中金资本、财信金控将取得对合营企业的共同控制权。</w:t>
            </w:r>
          </w:p>
        </w:tc>
      </w:tr>
      <w:tr w:rsidR="000B323B" w:rsidRPr="000B323B" w14:paraId="106FDA36" w14:textId="77777777" w:rsidTr="00C264FA">
        <w:trPr>
          <w:trHeight w:val="404"/>
        </w:trPr>
        <w:tc>
          <w:tcPr>
            <w:tcW w:w="1809" w:type="dxa"/>
            <w:vMerge w:val="restart"/>
            <w:shd w:val="clear" w:color="auto" w:fill="D9D9D9"/>
            <w:vAlign w:val="center"/>
          </w:tcPr>
          <w:p w14:paraId="20EADB43"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参与集中的</w:t>
            </w:r>
          </w:p>
          <w:p w14:paraId="6CEA5535"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经营者简介</w:t>
            </w:r>
          </w:p>
        </w:tc>
        <w:tc>
          <w:tcPr>
            <w:tcW w:w="1796" w:type="dxa"/>
          </w:tcPr>
          <w:p w14:paraId="74D3B11C"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1</w:t>
            </w:r>
            <w:r w:rsidRPr="000B323B">
              <w:rPr>
                <w:rFonts w:ascii="Times New Roman" w:eastAsia="仿宋_GB2312" w:hAnsi="Times New Roman" w:cs="Times New Roman"/>
                <w:color w:val="333333"/>
                <w:sz w:val="24"/>
                <w:szCs w:val="24"/>
                <w:bdr w:val="none" w:sz="0" w:space="0" w:color="auto" w:frame="1"/>
              </w:rPr>
              <w:t>、</w:t>
            </w:r>
            <w:r w:rsidRPr="000B323B">
              <w:rPr>
                <w:rFonts w:ascii="Times New Roman" w:eastAsia="仿宋_GB2312" w:hAnsi="Times New Roman" w:cs="Times New Roman" w:hint="eastAsia"/>
                <w:color w:val="333333"/>
                <w:sz w:val="24"/>
                <w:szCs w:val="24"/>
                <w:bdr w:val="none" w:sz="0" w:space="0" w:color="auto" w:frame="1"/>
              </w:rPr>
              <w:t>中金资本</w:t>
            </w:r>
          </w:p>
        </w:tc>
        <w:tc>
          <w:tcPr>
            <w:tcW w:w="5153" w:type="dxa"/>
          </w:tcPr>
          <w:p w14:paraId="783E7DDF" w14:textId="43B2C7E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hint="eastAsia"/>
                <w:bCs/>
                <w:color w:val="333333"/>
                <w:sz w:val="24"/>
                <w:szCs w:val="24"/>
                <w:bdr w:val="none" w:sz="0" w:space="0" w:color="auto" w:frame="1"/>
              </w:rPr>
              <w:t>中金资本是中国国际金融股份有限公司旗下的私募基金管理平台，管理中金公司境内外私募投资基金业务。</w:t>
            </w:r>
          </w:p>
        </w:tc>
      </w:tr>
      <w:tr w:rsidR="000B323B" w:rsidRPr="000B323B" w14:paraId="69F24E52" w14:textId="77777777" w:rsidTr="00C264FA">
        <w:trPr>
          <w:trHeight w:val="404"/>
        </w:trPr>
        <w:tc>
          <w:tcPr>
            <w:tcW w:w="1809" w:type="dxa"/>
            <w:vMerge/>
            <w:shd w:val="clear" w:color="auto" w:fill="D9D9D9"/>
            <w:vAlign w:val="center"/>
          </w:tcPr>
          <w:p w14:paraId="2E130962"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1796" w:type="dxa"/>
          </w:tcPr>
          <w:p w14:paraId="2B5BBE2F" w14:textId="5AE110A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2</w:t>
            </w:r>
            <w:r w:rsidRPr="000B323B">
              <w:rPr>
                <w:rFonts w:ascii="Times New Roman" w:eastAsia="仿宋_GB2312" w:hAnsi="Times New Roman" w:cs="Times New Roman"/>
                <w:color w:val="333333"/>
                <w:sz w:val="24"/>
                <w:szCs w:val="24"/>
                <w:bdr w:val="none" w:sz="0" w:space="0" w:color="auto" w:frame="1"/>
              </w:rPr>
              <w:t>、</w:t>
            </w:r>
            <w:r w:rsidRPr="000B323B">
              <w:rPr>
                <w:rFonts w:ascii="Times New Roman" w:eastAsia="仿宋_GB2312" w:hAnsi="Times New Roman" w:cs="Times New Roman" w:hint="eastAsia"/>
                <w:color w:val="333333"/>
                <w:sz w:val="24"/>
                <w:szCs w:val="24"/>
                <w:bdr w:val="none" w:sz="0" w:space="0" w:color="auto" w:frame="1"/>
              </w:rPr>
              <w:t>财信金控</w:t>
            </w:r>
          </w:p>
        </w:tc>
        <w:tc>
          <w:tcPr>
            <w:tcW w:w="5153" w:type="dxa"/>
          </w:tcPr>
          <w:p w14:paraId="799BD2C8" w14:textId="3456BAF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hint="eastAsia"/>
                <w:color w:val="333333"/>
                <w:sz w:val="24"/>
                <w:szCs w:val="24"/>
                <w:bdr w:val="none" w:sz="0" w:space="0" w:color="auto" w:frame="1"/>
              </w:rPr>
              <w:t>湖南财信金融控股集团有限公司是经湖南省人民政府批准组建的国有独资公司，系湖南省唯一的省级地方金融控股公司、省属国有大型骨干企业</w:t>
            </w:r>
            <w:r w:rsidR="006A481C">
              <w:rPr>
                <w:rFonts w:ascii="Times New Roman" w:eastAsia="仿宋_GB2312" w:hAnsi="Times New Roman" w:cs="Times New Roman" w:hint="eastAsia"/>
                <w:color w:val="333333"/>
                <w:sz w:val="24"/>
                <w:szCs w:val="24"/>
                <w:bdr w:val="none" w:sz="0" w:space="0" w:color="auto" w:frame="1"/>
              </w:rPr>
              <w:t>，</w:t>
            </w:r>
            <w:r w:rsidR="006A481C" w:rsidRPr="006A481C">
              <w:rPr>
                <w:rFonts w:ascii="Times New Roman" w:eastAsia="仿宋_GB2312" w:hAnsi="Times New Roman" w:cs="Times New Roman" w:hint="eastAsia"/>
                <w:color w:val="333333"/>
                <w:sz w:val="24"/>
                <w:szCs w:val="24"/>
                <w:bdr w:val="none" w:sz="0" w:space="0" w:color="auto" w:frame="1"/>
              </w:rPr>
              <w:t>业务范围涵盖信托、证券、保险、银行、资产管理、产业基金、产权交易、股权交易、期货、担保、创投等领域。</w:t>
            </w:r>
          </w:p>
        </w:tc>
      </w:tr>
      <w:tr w:rsidR="000B323B" w:rsidRPr="000B323B" w14:paraId="101458EC" w14:textId="77777777" w:rsidTr="00C264FA">
        <w:trPr>
          <w:trHeight w:val="279"/>
        </w:trPr>
        <w:tc>
          <w:tcPr>
            <w:tcW w:w="1809" w:type="dxa"/>
            <w:vMerge w:val="restart"/>
            <w:shd w:val="clear" w:color="auto" w:fill="D9D9D9"/>
            <w:vAlign w:val="center"/>
          </w:tcPr>
          <w:p w14:paraId="0FB38FCF"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简易案件理由（可以单选，也可以多选）</w:t>
            </w:r>
          </w:p>
        </w:tc>
        <w:tc>
          <w:tcPr>
            <w:tcW w:w="6949" w:type="dxa"/>
            <w:gridSpan w:val="2"/>
          </w:tcPr>
          <w:p w14:paraId="76A0C0E0"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sym w:font="Wingdings" w:char="F0FE"/>
            </w:r>
            <w:r w:rsidRPr="000B323B">
              <w:rPr>
                <w:rFonts w:ascii="Times New Roman" w:eastAsia="仿宋_GB2312" w:hAnsi="Times New Roman" w:cs="Times New Roman"/>
                <w:color w:val="333333"/>
                <w:sz w:val="24"/>
                <w:szCs w:val="24"/>
                <w:bdr w:val="none" w:sz="0" w:space="0" w:color="auto" w:frame="1"/>
              </w:rPr>
              <w:t>1.</w:t>
            </w:r>
            <w:r w:rsidRPr="000B323B">
              <w:rPr>
                <w:rFonts w:ascii="Times New Roman" w:eastAsia="仿宋_GB2312" w:hAnsi="Times New Roman" w:cs="Times New Roman"/>
                <w:color w:val="333333"/>
                <w:sz w:val="24"/>
                <w:szCs w:val="24"/>
                <w:bdr w:val="none" w:sz="0" w:space="0" w:color="auto" w:frame="1"/>
              </w:rPr>
              <w:t>在同一相关市场，所有参与集中的经营者所占市场份额之和小于</w:t>
            </w:r>
            <w:r w:rsidRPr="000B323B">
              <w:rPr>
                <w:rFonts w:ascii="Times New Roman" w:eastAsia="仿宋_GB2312" w:hAnsi="Times New Roman" w:cs="Times New Roman"/>
                <w:color w:val="333333"/>
                <w:sz w:val="24"/>
                <w:szCs w:val="24"/>
                <w:bdr w:val="none" w:sz="0" w:space="0" w:color="auto" w:frame="1"/>
              </w:rPr>
              <w:t>15%</w:t>
            </w:r>
            <w:r w:rsidRPr="000B323B">
              <w:rPr>
                <w:rFonts w:ascii="Times New Roman" w:eastAsia="仿宋_GB2312" w:hAnsi="Times New Roman" w:cs="Times New Roman"/>
                <w:color w:val="333333"/>
                <w:sz w:val="24"/>
                <w:szCs w:val="24"/>
                <w:bdr w:val="none" w:sz="0" w:space="0" w:color="auto" w:frame="1"/>
              </w:rPr>
              <w:t>。</w:t>
            </w:r>
          </w:p>
        </w:tc>
      </w:tr>
      <w:tr w:rsidR="000B323B" w:rsidRPr="000B323B" w14:paraId="64C79140" w14:textId="77777777" w:rsidTr="00C264FA">
        <w:trPr>
          <w:trHeight w:val="330"/>
        </w:trPr>
        <w:tc>
          <w:tcPr>
            <w:tcW w:w="1809" w:type="dxa"/>
            <w:vMerge/>
            <w:shd w:val="clear" w:color="auto" w:fill="D9D9D9"/>
            <w:vAlign w:val="center"/>
          </w:tcPr>
          <w:p w14:paraId="77A41FD6"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6949" w:type="dxa"/>
            <w:gridSpan w:val="2"/>
          </w:tcPr>
          <w:p w14:paraId="6E66473B"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□2.</w:t>
            </w:r>
            <w:r w:rsidRPr="000B323B">
              <w:rPr>
                <w:rFonts w:ascii="Times New Roman" w:eastAsia="仿宋_GB2312" w:hAnsi="Times New Roman" w:cs="Times New Roman"/>
                <w:color w:val="333333"/>
                <w:sz w:val="24"/>
                <w:szCs w:val="24"/>
                <w:bdr w:val="none" w:sz="0" w:space="0" w:color="auto" w:frame="1"/>
              </w:rPr>
              <w:t>存在上下游关系的参与集中的经营者，在上下游市场所占的市场份额均小于</w:t>
            </w:r>
            <w:r w:rsidRPr="000B323B">
              <w:rPr>
                <w:rFonts w:ascii="Times New Roman" w:eastAsia="仿宋_GB2312" w:hAnsi="Times New Roman" w:cs="Times New Roman"/>
                <w:color w:val="333333"/>
                <w:sz w:val="24"/>
                <w:szCs w:val="24"/>
                <w:bdr w:val="none" w:sz="0" w:space="0" w:color="auto" w:frame="1"/>
              </w:rPr>
              <w:t>25%</w:t>
            </w:r>
            <w:r w:rsidRPr="000B323B">
              <w:rPr>
                <w:rFonts w:ascii="Times New Roman" w:eastAsia="仿宋_GB2312" w:hAnsi="Times New Roman" w:cs="Times New Roman"/>
                <w:color w:val="333333"/>
                <w:sz w:val="24"/>
                <w:szCs w:val="24"/>
                <w:bdr w:val="none" w:sz="0" w:space="0" w:color="auto" w:frame="1"/>
              </w:rPr>
              <w:t>。</w:t>
            </w:r>
          </w:p>
        </w:tc>
      </w:tr>
      <w:tr w:rsidR="000B323B" w:rsidRPr="000B323B" w14:paraId="66997BA1" w14:textId="77777777" w:rsidTr="00C264FA">
        <w:trPr>
          <w:trHeight w:val="285"/>
        </w:trPr>
        <w:tc>
          <w:tcPr>
            <w:tcW w:w="1809" w:type="dxa"/>
            <w:vMerge/>
            <w:shd w:val="clear" w:color="auto" w:fill="D9D9D9"/>
            <w:vAlign w:val="center"/>
          </w:tcPr>
          <w:p w14:paraId="571C36F7"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6949" w:type="dxa"/>
            <w:gridSpan w:val="2"/>
          </w:tcPr>
          <w:p w14:paraId="70757F17"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□3.</w:t>
            </w:r>
            <w:r w:rsidRPr="000B323B">
              <w:rPr>
                <w:rFonts w:ascii="Times New Roman" w:eastAsia="仿宋_GB2312" w:hAnsi="Times New Roman" w:cs="Times New Roman"/>
                <w:color w:val="333333"/>
                <w:sz w:val="24"/>
                <w:szCs w:val="24"/>
                <w:bdr w:val="none" w:sz="0" w:space="0" w:color="auto" w:frame="1"/>
              </w:rPr>
              <w:t>不在同一相关市场、也不存在上下游关系的参与集中的经营者，在与交易有关的每个市场所占的份额均小于</w:t>
            </w:r>
            <w:r w:rsidRPr="000B323B">
              <w:rPr>
                <w:rFonts w:ascii="Times New Roman" w:eastAsia="仿宋_GB2312" w:hAnsi="Times New Roman" w:cs="Times New Roman"/>
                <w:color w:val="333333"/>
                <w:sz w:val="24"/>
                <w:szCs w:val="24"/>
                <w:bdr w:val="none" w:sz="0" w:space="0" w:color="auto" w:frame="1"/>
              </w:rPr>
              <w:t>25%</w:t>
            </w:r>
            <w:r w:rsidRPr="000B323B">
              <w:rPr>
                <w:rFonts w:ascii="Times New Roman" w:eastAsia="仿宋_GB2312" w:hAnsi="Times New Roman" w:cs="Times New Roman"/>
                <w:color w:val="333333"/>
                <w:sz w:val="24"/>
                <w:szCs w:val="24"/>
                <w:bdr w:val="none" w:sz="0" w:space="0" w:color="auto" w:frame="1"/>
              </w:rPr>
              <w:t>。</w:t>
            </w:r>
          </w:p>
        </w:tc>
      </w:tr>
      <w:tr w:rsidR="000B323B" w:rsidRPr="000B323B" w14:paraId="4603E320" w14:textId="77777777" w:rsidTr="00C264FA">
        <w:trPr>
          <w:trHeight w:val="870"/>
        </w:trPr>
        <w:tc>
          <w:tcPr>
            <w:tcW w:w="1809" w:type="dxa"/>
            <w:vMerge/>
            <w:shd w:val="clear" w:color="auto" w:fill="D9D9D9"/>
            <w:vAlign w:val="center"/>
          </w:tcPr>
          <w:p w14:paraId="2928CD72"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6949" w:type="dxa"/>
            <w:gridSpan w:val="2"/>
          </w:tcPr>
          <w:p w14:paraId="1D5E4EDB"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□4.</w:t>
            </w:r>
            <w:r w:rsidRPr="000B323B">
              <w:rPr>
                <w:rFonts w:ascii="Times New Roman" w:eastAsia="仿宋_GB2312" w:hAnsi="Times New Roman" w:cs="Times New Roman"/>
                <w:color w:val="333333"/>
                <w:sz w:val="24"/>
                <w:szCs w:val="24"/>
                <w:bdr w:val="none" w:sz="0" w:space="0" w:color="auto" w:frame="1"/>
              </w:rPr>
              <w:t>参与集中的经营者在中国境外设立合营企业，合营企业不在中国境内从事经济活动。</w:t>
            </w:r>
          </w:p>
        </w:tc>
      </w:tr>
      <w:tr w:rsidR="000B323B" w:rsidRPr="000B323B" w14:paraId="0FFC60AE" w14:textId="77777777" w:rsidTr="00C264FA">
        <w:trPr>
          <w:trHeight w:val="264"/>
        </w:trPr>
        <w:tc>
          <w:tcPr>
            <w:tcW w:w="1809" w:type="dxa"/>
            <w:vMerge/>
            <w:shd w:val="clear" w:color="auto" w:fill="D9D9D9"/>
            <w:vAlign w:val="center"/>
          </w:tcPr>
          <w:p w14:paraId="1E2D2BFA"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6949" w:type="dxa"/>
            <w:gridSpan w:val="2"/>
          </w:tcPr>
          <w:p w14:paraId="45FCD822"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□5.</w:t>
            </w:r>
            <w:r w:rsidRPr="000B323B">
              <w:rPr>
                <w:rFonts w:ascii="Times New Roman" w:eastAsia="仿宋_GB2312" w:hAnsi="Times New Roman" w:cs="Times New Roman"/>
                <w:color w:val="333333"/>
                <w:sz w:val="24"/>
                <w:szCs w:val="24"/>
                <w:bdr w:val="none" w:sz="0" w:space="0" w:color="auto" w:frame="1"/>
              </w:rPr>
              <w:t>参与集中的经营者收购境外企业股权或资产的，该境外企业</w:t>
            </w:r>
            <w:r w:rsidRPr="000B323B">
              <w:rPr>
                <w:rFonts w:ascii="Times New Roman" w:eastAsia="仿宋_GB2312" w:hAnsi="Times New Roman" w:cs="Times New Roman"/>
                <w:color w:val="333333"/>
                <w:sz w:val="24"/>
                <w:szCs w:val="24"/>
                <w:bdr w:val="none" w:sz="0" w:space="0" w:color="auto" w:frame="1"/>
              </w:rPr>
              <w:lastRenderedPageBreak/>
              <w:t>不在中国境内从事经济活动。</w:t>
            </w:r>
          </w:p>
        </w:tc>
      </w:tr>
      <w:tr w:rsidR="000B323B" w:rsidRPr="000B323B" w14:paraId="0898CCCF" w14:textId="77777777" w:rsidTr="00C264FA">
        <w:trPr>
          <w:trHeight w:val="345"/>
        </w:trPr>
        <w:tc>
          <w:tcPr>
            <w:tcW w:w="1809" w:type="dxa"/>
            <w:vMerge/>
            <w:shd w:val="clear" w:color="auto" w:fill="D9D9D9"/>
            <w:vAlign w:val="center"/>
          </w:tcPr>
          <w:p w14:paraId="60159BE5"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p>
        </w:tc>
        <w:tc>
          <w:tcPr>
            <w:tcW w:w="6949" w:type="dxa"/>
            <w:gridSpan w:val="2"/>
          </w:tcPr>
          <w:p w14:paraId="380A923C" w14:textId="77777777" w:rsidR="000B323B" w:rsidRPr="000B323B" w:rsidRDefault="000B323B" w:rsidP="000B323B">
            <w:pPr>
              <w:widowControl w:val="0"/>
              <w:spacing w:before="120" w:after="120" w:line="240" w:lineRule="auto"/>
              <w:jc w:val="both"/>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□6.</w:t>
            </w:r>
            <w:r w:rsidRPr="000B323B">
              <w:rPr>
                <w:rFonts w:ascii="Times New Roman" w:eastAsia="仿宋_GB2312" w:hAnsi="Times New Roman" w:cs="Times New Roman"/>
                <w:color w:val="333333"/>
                <w:sz w:val="24"/>
                <w:szCs w:val="24"/>
                <w:bdr w:val="none" w:sz="0" w:space="0" w:color="auto" w:frame="1"/>
              </w:rPr>
              <w:t>由两个以上的经营者共同控制的合营企业，通过集中被其中一个或一个以上经营者控制。</w:t>
            </w:r>
          </w:p>
        </w:tc>
      </w:tr>
      <w:tr w:rsidR="000B323B" w:rsidRPr="000B323B" w14:paraId="13DC9E0C" w14:textId="77777777" w:rsidTr="00C264FA">
        <w:tc>
          <w:tcPr>
            <w:tcW w:w="1809" w:type="dxa"/>
            <w:shd w:val="clear" w:color="auto" w:fill="D9D9D9"/>
            <w:vAlign w:val="center"/>
          </w:tcPr>
          <w:p w14:paraId="68F5DFD6" w14:textId="77777777" w:rsidR="000B323B" w:rsidRPr="000B323B" w:rsidRDefault="000B323B" w:rsidP="000B323B">
            <w:pPr>
              <w:widowControl w:val="0"/>
              <w:spacing w:before="120" w:after="120" w:line="240" w:lineRule="auto"/>
              <w:jc w:val="center"/>
              <w:rPr>
                <w:rFonts w:ascii="Times New Roman" w:eastAsia="仿宋_GB2312" w:hAnsi="Times New Roman" w:cs="Times New Roman"/>
                <w:color w:val="333333"/>
                <w:sz w:val="24"/>
                <w:szCs w:val="24"/>
                <w:bdr w:val="none" w:sz="0" w:space="0" w:color="auto" w:frame="1"/>
              </w:rPr>
            </w:pPr>
            <w:r w:rsidRPr="000B323B">
              <w:rPr>
                <w:rFonts w:ascii="Times New Roman" w:eastAsia="仿宋_GB2312" w:hAnsi="Times New Roman" w:cs="Times New Roman"/>
                <w:color w:val="333333"/>
                <w:sz w:val="24"/>
                <w:szCs w:val="24"/>
                <w:bdr w:val="none" w:sz="0" w:space="0" w:color="auto" w:frame="1"/>
              </w:rPr>
              <w:t>备注</w:t>
            </w:r>
          </w:p>
        </w:tc>
        <w:tc>
          <w:tcPr>
            <w:tcW w:w="6949" w:type="dxa"/>
            <w:gridSpan w:val="2"/>
          </w:tcPr>
          <w:p w14:paraId="3B990F40" w14:textId="77777777" w:rsidR="000B323B" w:rsidRPr="000B323B" w:rsidRDefault="000B323B" w:rsidP="000B323B">
            <w:pPr>
              <w:snapToGrid w:val="0"/>
              <w:spacing w:beforeLines="50" w:before="120" w:afterLines="50" w:after="120" w:line="240" w:lineRule="auto"/>
              <w:rPr>
                <w:rFonts w:ascii="Times New Roman" w:eastAsia="仿宋_GB2312" w:hAnsi="Times New Roman" w:cs="Times New Roman"/>
                <w:sz w:val="24"/>
                <w:szCs w:val="24"/>
                <w:lang w:val="en-GB" w:bidi="ar-AE"/>
              </w:rPr>
            </w:pPr>
            <w:r w:rsidRPr="000B323B">
              <w:rPr>
                <w:rFonts w:ascii="Times New Roman" w:eastAsia="仿宋_GB2312" w:hAnsi="Times New Roman" w:cs="Times New Roman" w:hint="eastAsia"/>
                <w:b/>
                <w:bCs/>
                <w:sz w:val="24"/>
                <w:szCs w:val="24"/>
                <w:lang w:val="en-GB" w:bidi="ar-AE"/>
              </w:rPr>
              <w:t>相关市场</w:t>
            </w:r>
            <w:r w:rsidRPr="000B323B">
              <w:rPr>
                <w:rFonts w:ascii="Times New Roman" w:eastAsia="仿宋_GB2312" w:hAnsi="Times New Roman" w:cs="Times New Roman" w:hint="eastAsia"/>
                <w:sz w:val="24"/>
                <w:szCs w:val="24"/>
                <w:lang w:val="en-GB" w:bidi="ar-AE"/>
              </w:rPr>
              <w:t>：中国私募股权投资基金管理市场</w:t>
            </w:r>
          </w:p>
          <w:p w14:paraId="79EAE369" w14:textId="77777777" w:rsidR="000B323B" w:rsidRPr="000B323B" w:rsidRDefault="000B323B" w:rsidP="000B323B">
            <w:pPr>
              <w:snapToGrid w:val="0"/>
              <w:spacing w:beforeLines="50" w:before="120" w:afterLines="50" w:after="120" w:line="240" w:lineRule="auto"/>
              <w:rPr>
                <w:rFonts w:ascii="Times New Roman" w:eastAsia="仿宋_GB2312" w:hAnsi="Times New Roman" w:cs="Times New Roman"/>
                <w:b/>
                <w:bCs/>
                <w:sz w:val="24"/>
                <w:szCs w:val="24"/>
                <w:lang w:val="en-GB" w:bidi="ar-AE"/>
              </w:rPr>
            </w:pPr>
            <w:r w:rsidRPr="000B323B">
              <w:rPr>
                <w:rFonts w:ascii="Times New Roman" w:eastAsia="仿宋_GB2312" w:hAnsi="Times New Roman" w:cs="Times New Roman" w:hint="eastAsia"/>
                <w:b/>
                <w:bCs/>
                <w:sz w:val="24"/>
                <w:szCs w:val="24"/>
                <w:lang w:val="en-GB" w:bidi="ar-AE"/>
              </w:rPr>
              <w:t>相关市场的市场份额</w:t>
            </w:r>
          </w:p>
          <w:p w14:paraId="43233931" w14:textId="77777777" w:rsidR="000B323B" w:rsidRPr="000B323B" w:rsidRDefault="000B323B" w:rsidP="000B323B">
            <w:pPr>
              <w:snapToGrid w:val="0"/>
              <w:spacing w:beforeLines="50" w:before="120" w:afterLines="50" w:after="120" w:line="240" w:lineRule="auto"/>
              <w:rPr>
                <w:rFonts w:ascii="Times New Roman" w:eastAsia="仿宋_GB2312" w:hAnsi="Times New Roman" w:cs="Times New Roman"/>
                <w:sz w:val="24"/>
                <w:szCs w:val="24"/>
                <w:lang w:val="en-GB" w:bidi="ar-AE"/>
              </w:rPr>
            </w:pPr>
            <w:r w:rsidRPr="000B323B">
              <w:rPr>
                <w:rFonts w:ascii="Times New Roman" w:eastAsia="仿宋_GB2312" w:hAnsi="Times New Roman" w:cs="Times New Roman" w:hint="eastAsia"/>
                <w:sz w:val="24"/>
                <w:szCs w:val="24"/>
                <w:lang w:val="en-GB" w:bidi="ar-AE"/>
              </w:rPr>
              <w:t>中国私募股权投资基金管理市场</w:t>
            </w:r>
          </w:p>
          <w:p w14:paraId="3955E4FE" w14:textId="77777777" w:rsidR="000B323B" w:rsidRPr="000B323B" w:rsidRDefault="000B323B" w:rsidP="000B323B">
            <w:pPr>
              <w:snapToGrid w:val="0"/>
              <w:spacing w:beforeLines="50" w:before="120" w:afterLines="50" w:after="120" w:line="240" w:lineRule="auto"/>
              <w:rPr>
                <w:rFonts w:ascii="Times New Roman" w:eastAsia="仿宋_GB2312" w:hAnsi="Times New Roman" w:cs="Times New Roman"/>
                <w:sz w:val="24"/>
                <w:szCs w:val="24"/>
                <w:lang w:val="en-GB" w:bidi="ar-AE"/>
              </w:rPr>
            </w:pPr>
            <w:r w:rsidRPr="000B323B">
              <w:rPr>
                <w:rFonts w:ascii="Times New Roman" w:eastAsia="仿宋_GB2312" w:hAnsi="Times New Roman" w:cs="Times New Roman" w:hint="eastAsia"/>
                <w:sz w:val="24"/>
                <w:szCs w:val="24"/>
                <w:lang w:val="en-GB" w:bidi="ar-AE"/>
              </w:rPr>
              <w:t>中金资本：</w:t>
            </w:r>
            <w:r w:rsidRPr="000B323B">
              <w:rPr>
                <w:rFonts w:ascii="Times New Roman" w:eastAsia="仿宋_GB2312" w:hAnsi="Times New Roman" w:cs="Times New Roman" w:hint="eastAsia"/>
                <w:sz w:val="24"/>
                <w:szCs w:val="24"/>
                <w:lang w:val="en-GB" w:bidi="ar-AE"/>
              </w:rPr>
              <w:t>[</w:t>
            </w:r>
            <w:r w:rsidRPr="000B323B">
              <w:rPr>
                <w:rFonts w:ascii="Times New Roman" w:eastAsia="仿宋_GB2312" w:hAnsi="Times New Roman" w:cs="Times New Roman"/>
                <w:sz w:val="24"/>
                <w:szCs w:val="24"/>
                <w:lang w:val="en-GB" w:bidi="ar-AE"/>
              </w:rPr>
              <w:t>0</w:t>
            </w:r>
            <w:r w:rsidRPr="000B323B">
              <w:rPr>
                <w:rFonts w:ascii="Times New Roman" w:eastAsia="仿宋_GB2312" w:hAnsi="Times New Roman" w:cs="Times New Roman" w:hint="eastAsia"/>
                <w:sz w:val="24"/>
                <w:szCs w:val="24"/>
                <w:lang w:val="en-GB" w:bidi="ar-AE"/>
              </w:rPr>
              <w:t>-</w:t>
            </w:r>
            <w:r w:rsidRPr="000B323B">
              <w:rPr>
                <w:rFonts w:ascii="Times New Roman" w:eastAsia="仿宋_GB2312" w:hAnsi="Times New Roman" w:cs="Times New Roman"/>
                <w:sz w:val="24"/>
                <w:szCs w:val="24"/>
                <w:lang w:val="en-GB" w:bidi="ar-AE"/>
              </w:rPr>
              <w:t>5]</w:t>
            </w:r>
            <w:r w:rsidRPr="000B323B">
              <w:rPr>
                <w:rFonts w:ascii="Times New Roman" w:eastAsia="仿宋_GB2312" w:hAnsi="Times New Roman" w:cs="Times New Roman" w:hint="eastAsia"/>
                <w:sz w:val="24"/>
                <w:szCs w:val="24"/>
                <w:lang w:val="en-GB" w:bidi="ar-AE"/>
              </w:rPr>
              <w:t>%</w:t>
            </w:r>
          </w:p>
          <w:p w14:paraId="2F3EB619" w14:textId="13701854" w:rsidR="000B323B" w:rsidRPr="000B323B" w:rsidRDefault="000B323B" w:rsidP="000B323B">
            <w:pPr>
              <w:snapToGrid w:val="0"/>
              <w:spacing w:beforeLines="50" w:before="120" w:afterLines="50" w:after="120" w:line="240" w:lineRule="auto"/>
              <w:rPr>
                <w:rFonts w:ascii="Times New Roman" w:eastAsia="仿宋_GB2312" w:hAnsi="Times New Roman" w:cs="Times New Roman"/>
                <w:sz w:val="24"/>
                <w:szCs w:val="24"/>
                <w:lang w:val="en-GB" w:bidi="ar-AE"/>
              </w:rPr>
            </w:pPr>
            <w:r w:rsidRPr="000B323B">
              <w:rPr>
                <w:rFonts w:ascii="Times New Roman" w:eastAsia="仿宋_GB2312" w:hAnsi="Times New Roman" w:cs="Times New Roman" w:hint="eastAsia"/>
                <w:sz w:val="24"/>
                <w:szCs w:val="24"/>
                <w:lang w:val="en-GB" w:bidi="ar-AE"/>
              </w:rPr>
              <w:t>财信金控：</w:t>
            </w:r>
            <w:r w:rsidRPr="000B323B">
              <w:rPr>
                <w:rFonts w:ascii="Times New Roman" w:eastAsia="仿宋_GB2312" w:hAnsi="Times New Roman" w:cs="Times New Roman" w:hint="eastAsia"/>
                <w:sz w:val="24"/>
                <w:szCs w:val="24"/>
                <w:lang w:val="en-GB" w:bidi="ar-AE"/>
              </w:rPr>
              <w:t>[</w:t>
            </w:r>
            <w:r w:rsidRPr="000B323B">
              <w:rPr>
                <w:rFonts w:ascii="Times New Roman" w:eastAsia="仿宋_GB2312" w:hAnsi="Times New Roman" w:cs="Times New Roman"/>
                <w:sz w:val="24"/>
                <w:szCs w:val="24"/>
                <w:lang w:val="en-GB" w:bidi="ar-AE"/>
              </w:rPr>
              <w:t>0</w:t>
            </w:r>
            <w:r w:rsidRPr="000B323B">
              <w:rPr>
                <w:rFonts w:ascii="Times New Roman" w:eastAsia="仿宋_GB2312" w:hAnsi="Times New Roman" w:cs="Times New Roman" w:hint="eastAsia"/>
                <w:sz w:val="24"/>
                <w:szCs w:val="24"/>
                <w:lang w:val="en-GB" w:bidi="ar-AE"/>
              </w:rPr>
              <w:t>-</w:t>
            </w:r>
            <w:r w:rsidRPr="000B323B">
              <w:rPr>
                <w:rFonts w:ascii="Times New Roman" w:eastAsia="仿宋_GB2312" w:hAnsi="Times New Roman" w:cs="Times New Roman"/>
                <w:sz w:val="24"/>
                <w:szCs w:val="24"/>
                <w:lang w:val="en-GB" w:bidi="ar-AE"/>
              </w:rPr>
              <w:t>5]</w:t>
            </w:r>
            <w:r w:rsidRPr="000B323B">
              <w:rPr>
                <w:rFonts w:ascii="Times New Roman" w:eastAsia="仿宋_GB2312" w:hAnsi="Times New Roman" w:cs="Times New Roman" w:hint="eastAsia"/>
                <w:sz w:val="24"/>
                <w:szCs w:val="24"/>
                <w:lang w:val="en-GB" w:bidi="ar-AE"/>
              </w:rPr>
              <w:t>%</w:t>
            </w:r>
          </w:p>
        </w:tc>
      </w:tr>
    </w:tbl>
    <w:p w14:paraId="11A7F858" w14:textId="77777777" w:rsidR="000B323B" w:rsidRPr="000B323B" w:rsidRDefault="000B323B" w:rsidP="000B323B">
      <w:pPr>
        <w:widowControl w:val="0"/>
        <w:snapToGrid w:val="0"/>
        <w:spacing w:after="0" w:line="240" w:lineRule="exact"/>
        <w:rPr>
          <w:rFonts w:ascii="Times New Roman" w:eastAsia="仿宋_GB2312" w:hAnsi="Times New Roman" w:cs="Times New Roman"/>
          <w:kern w:val="2"/>
          <w:sz w:val="24"/>
          <w:szCs w:val="24"/>
        </w:rPr>
      </w:pPr>
    </w:p>
    <w:p w14:paraId="32229860" w14:textId="77777777" w:rsidR="007F1B97" w:rsidRDefault="00E510CB"/>
    <w:sectPr w:rsidR="007F1B9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57508" w14:textId="77777777" w:rsidR="00E510CB" w:rsidRDefault="00E510CB" w:rsidP="009E3BAC">
      <w:pPr>
        <w:spacing w:after="0" w:line="240" w:lineRule="auto"/>
      </w:pPr>
      <w:r>
        <w:separator/>
      </w:r>
    </w:p>
  </w:endnote>
  <w:endnote w:type="continuationSeparator" w:id="0">
    <w:p w14:paraId="49A32135" w14:textId="77777777" w:rsidR="00E510CB" w:rsidRDefault="00E510CB" w:rsidP="009E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10191" w14:textId="77777777" w:rsidR="009E3BAC" w:rsidRDefault="009E3B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6F1B" w14:textId="77777777" w:rsidR="009E3BAC" w:rsidRDefault="009E3B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9AE7D" w14:textId="77777777" w:rsidR="009E3BAC" w:rsidRDefault="009E3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B4538" w14:textId="77777777" w:rsidR="00E510CB" w:rsidRDefault="00E510CB" w:rsidP="009E3BAC">
      <w:pPr>
        <w:spacing w:after="0" w:line="240" w:lineRule="auto"/>
      </w:pPr>
      <w:r>
        <w:separator/>
      </w:r>
    </w:p>
  </w:footnote>
  <w:footnote w:type="continuationSeparator" w:id="0">
    <w:p w14:paraId="46CD57D2" w14:textId="77777777" w:rsidR="00E510CB" w:rsidRDefault="00E510CB" w:rsidP="009E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1854F" w14:textId="77777777" w:rsidR="009E3BAC" w:rsidRDefault="009E3B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513C0" w14:textId="77777777" w:rsidR="009E3BAC" w:rsidRDefault="009E3B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3B6" w14:textId="77777777" w:rsidR="009E3BAC" w:rsidRDefault="009E3B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A5"/>
    <w:rsid w:val="000B323B"/>
    <w:rsid w:val="00546C1C"/>
    <w:rsid w:val="0056770E"/>
    <w:rsid w:val="00625FEC"/>
    <w:rsid w:val="006A481C"/>
    <w:rsid w:val="0098236B"/>
    <w:rsid w:val="009E3BAC"/>
    <w:rsid w:val="00A568A5"/>
    <w:rsid w:val="00BC7A32"/>
    <w:rsid w:val="00D649DF"/>
    <w:rsid w:val="00E510CB"/>
    <w:rsid w:val="00F67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AA1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BAC"/>
  </w:style>
  <w:style w:type="paragraph" w:styleId="Footer">
    <w:name w:val="footer"/>
    <w:basedOn w:val="Normal"/>
    <w:link w:val="FooterChar"/>
    <w:uiPriority w:val="99"/>
    <w:unhideWhenUsed/>
    <w:rsid w:val="009E3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2015-05-07T19:18:00Z</dcterms:created>
  <dcterms:modified xsi:type="dcterms:W3CDTF">2021-07-05T08:20:00Z</dcterms:modified>
</cp:coreProperties>
</file>