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color w:val="000000" w:themeColor="text1"/>
          <w:szCs w:val="21"/>
        </w:rPr>
      </w:pPr>
    </w:p>
    <w:p>
      <w:pPr>
        <w:spacing w:line="440" w:lineRule="exact"/>
        <w:jc w:val="center"/>
        <w:rPr>
          <w:rFonts w:ascii="黑体" w:hAnsi="Times New Roman" w:eastAsia="黑体"/>
          <w:color w:val="000000" w:themeColor="text1"/>
          <w:sz w:val="30"/>
          <w:szCs w:val="30"/>
        </w:rPr>
      </w:pPr>
      <w:r>
        <w:rPr>
          <w:rFonts w:hint="eastAsia" w:ascii="黑体" w:hAnsi="Times New Roman" w:eastAsia="黑体"/>
          <w:color w:val="000000" w:themeColor="text1"/>
          <w:sz w:val="30"/>
          <w:szCs w:val="30"/>
        </w:rPr>
        <w:t>经营者集中简易案件公示表</w:t>
      </w:r>
    </w:p>
    <w:p>
      <w:pPr>
        <w:spacing w:line="440" w:lineRule="exact"/>
        <w:rPr>
          <w:rFonts w:ascii="黑体" w:hAnsi="Times New Roman" w:eastAsia="黑体"/>
          <w:color w:val="000000" w:themeColor="text1"/>
          <w:sz w:val="28"/>
          <w:szCs w:val="28"/>
        </w:rPr>
      </w:pPr>
    </w:p>
    <w:p>
      <w:pPr>
        <w:spacing w:line="440" w:lineRule="exact"/>
        <w:ind w:firstLine="845" w:firstLineChars="302"/>
        <w:rPr>
          <w:rFonts w:ascii="仿宋_GB2312" w:hAnsi="Times New Roman" w:eastAsia="仿宋_GB2312"/>
          <w:color w:val="000000" w:themeColor="text1"/>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案件名称</w:t>
            </w: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中车青岛四方机车车辆股份有限公司与中国铁路武汉局集团有限公司</w:t>
            </w:r>
            <w:r>
              <w:rPr>
                <w:rFonts w:hint="eastAsia" w:ascii="仿宋" w:hAnsi="仿宋" w:eastAsia="仿宋" w:cs="宋体"/>
                <w:bCs/>
                <w:color w:val="000000" w:themeColor="text1"/>
                <w:kern w:val="0"/>
                <w:sz w:val="24"/>
                <w:szCs w:val="24"/>
              </w:rPr>
              <w:t>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交易概况</w:t>
            </w:r>
          </w:p>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（限200字内）</w:t>
            </w: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lang w:val="en-GB"/>
              </w:rPr>
              <w:t>本交易涉及</w:t>
            </w:r>
            <w:r>
              <w:rPr>
                <w:rFonts w:hint="eastAsia" w:ascii="仿宋" w:hAnsi="仿宋" w:eastAsia="仿宋" w:cs="宋体"/>
                <w:color w:val="000000" w:themeColor="text1"/>
                <w:kern w:val="0"/>
                <w:sz w:val="24"/>
                <w:szCs w:val="24"/>
              </w:rPr>
              <w:t>中车青岛四方机车车辆股份有限公司、中国铁路武汉局集团有限公司新设合资企业事宜，双方分别持有合资公司67%、33%的股份。合资企业成立后主要从事动车组部件检修业务。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参与集中的</w:t>
            </w:r>
          </w:p>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经营者简介</w:t>
            </w:r>
          </w:p>
        </w:tc>
        <w:tc>
          <w:tcPr>
            <w:tcW w:w="1796" w:type="dxa"/>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1、中车青岛四方机车车辆股份有限公司</w:t>
            </w:r>
          </w:p>
        </w:tc>
        <w:tc>
          <w:tcPr>
            <w:tcW w:w="5153" w:type="dxa"/>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中车青岛四方机车车辆股份有限公司成立于2002年7月22日，主要从事铁路机车、客车、动车组、城市轨道交通设备的设计、制造、修理、销售、租赁等业务。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1796" w:type="dxa"/>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2、中国铁路武汉局集团有限公司</w:t>
            </w:r>
          </w:p>
        </w:tc>
        <w:tc>
          <w:tcPr>
            <w:tcW w:w="5153" w:type="dxa"/>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中国铁路武汉局集团有限公司成立于2005年5月18日，主要从事铁路客货运输相关服务业务；铁路工程建设及相关业务；铁路专用设备及其他工业设备的制造、维修、租赁业务等。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简易案件理由（可以单选，也可以多选）</w:t>
            </w: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sym w:font="Wingdings" w:char="00FE"/>
            </w:r>
            <w:r>
              <w:rPr>
                <w:rFonts w:hint="eastAsia" w:ascii="仿宋" w:hAnsi="仿宋" w:eastAsia="仿宋" w:cs="宋体"/>
                <w:color w:val="000000" w:themeColor="text1"/>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000000" w:themeColor="text1"/>
                <w:kern w:val="0"/>
                <w:sz w:val="24"/>
                <w:szCs w:val="24"/>
              </w:rPr>
            </w:pPr>
          </w:p>
        </w:tc>
        <w:tc>
          <w:tcPr>
            <w:tcW w:w="6949" w:type="dxa"/>
            <w:gridSpan w:val="2"/>
          </w:tcPr>
          <w:p>
            <w:pPr>
              <w:spacing w:line="500" w:lineRule="exact"/>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000000" w:themeColor="text1"/>
                <w:kern w:val="0"/>
                <w:sz w:val="24"/>
                <w:szCs w:val="24"/>
              </w:rPr>
            </w:pPr>
            <w:r>
              <w:rPr>
                <w:rFonts w:hint="eastAsia" w:ascii="仿宋" w:hAnsi="仿宋" w:eastAsia="仿宋" w:cs="宋体"/>
                <w:color w:val="000000" w:themeColor="text1"/>
                <w:kern w:val="0"/>
                <w:sz w:val="24"/>
                <w:szCs w:val="24"/>
              </w:rPr>
              <w:t>备注</w:t>
            </w:r>
          </w:p>
        </w:tc>
        <w:tc>
          <w:tcPr>
            <w:tcW w:w="6949" w:type="dxa"/>
            <w:gridSpan w:val="2"/>
          </w:tcPr>
          <w:p>
            <w:pPr>
              <w:spacing w:line="500" w:lineRule="exact"/>
              <w:rPr>
                <w:rFonts w:ascii="仿宋" w:hAnsi="仿宋" w:eastAsia="仿宋"/>
                <w:color w:val="000000" w:themeColor="text1"/>
                <w:sz w:val="24"/>
                <w:szCs w:val="24"/>
              </w:rPr>
            </w:pPr>
            <w:r>
              <w:rPr>
                <w:rFonts w:hint="eastAsia" w:ascii="仿宋" w:hAnsi="仿宋" w:eastAsia="仿宋"/>
                <w:color w:val="000000" w:themeColor="text1"/>
                <w:sz w:val="24"/>
                <w:szCs w:val="24"/>
              </w:rPr>
              <w:t>相关产品市场：动车组部件检修服务市场。</w:t>
            </w:r>
          </w:p>
          <w:p>
            <w:pPr>
              <w:spacing w:line="500" w:lineRule="exact"/>
              <w:rPr>
                <w:rFonts w:ascii="仿宋" w:hAnsi="仿宋" w:eastAsia="仿宋"/>
                <w:color w:val="000000" w:themeColor="text1"/>
                <w:sz w:val="24"/>
                <w:szCs w:val="24"/>
              </w:rPr>
            </w:pPr>
            <w:r>
              <w:rPr>
                <w:rFonts w:hint="eastAsia" w:ascii="仿宋" w:hAnsi="仿宋" w:eastAsia="仿宋"/>
                <w:color w:val="000000" w:themeColor="text1"/>
                <w:sz w:val="24"/>
                <w:szCs w:val="24"/>
              </w:rPr>
              <w:t>相关地域市场：中国</w:t>
            </w:r>
            <w:r>
              <w:rPr>
                <w:rFonts w:hint="eastAsia" w:ascii="仿宋" w:hAnsi="仿宋" w:eastAsia="仿宋"/>
                <w:color w:val="000000" w:themeColor="text1"/>
                <w:sz w:val="24"/>
                <w:szCs w:val="24"/>
                <w:lang w:val="en-US" w:eastAsia="zh-CN"/>
              </w:rPr>
              <w:t>境内</w:t>
            </w:r>
            <w:bookmarkStart w:id="0" w:name="_GoBack"/>
            <w:bookmarkEnd w:id="0"/>
            <w:r>
              <w:rPr>
                <w:rFonts w:hint="eastAsia" w:ascii="仿宋" w:hAnsi="仿宋" w:eastAsia="仿宋"/>
                <w:color w:val="000000" w:themeColor="text1"/>
                <w:sz w:val="24"/>
                <w:szCs w:val="24"/>
              </w:rPr>
              <w:t>。</w:t>
            </w:r>
          </w:p>
          <w:p>
            <w:pPr>
              <w:spacing w:line="500" w:lineRule="exact"/>
              <w:rPr>
                <w:rFonts w:ascii="仿宋" w:hAnsi="仿宋" w:eastAsia="仿宋" w:cs="宋体"/>
                <w:color w:val="000000" w:themeColor="text1"/>
                <w:kern w:val="0"/>
                <w:sz w:val="24"/>
                <w:szCs w:val="24"/>
              </w:rPr>
            </w:pPr>
            <w:r>
              <w:rPr>
                <w:rFonts w:hint="eastAsia" w:ascii="仿宋" w:hAnsi="仿宋" w:eastAsia="仿宋"/>
                <w:color w:val="000000" w:themeColor="text1"/>
                <w:sz w:val="24"/>
                <w:szCs w:val="24"/>
              </w:rPr>
              <w:t>相关市场份额：四方股份[5-10%</w:t>
            </w:r>
            <w:r>
              <w:rPr>
                <w:rFonts w:ascii="仿宋" w:hAnsi="仿宋" w:eastAsia="仿宋"/>
                <w:color w:val="000000" w:themeColor="text1"/>
                <w:sz w:val="24"/>
                <w:szCs w:val="24"/>
              </w:rPr>
              <w:t>]</w:t>
            </w:r>
            <w:r>
              <w:rPr>
                <w:rFonts w:hint="eastAsia" w:ascii="仿宋" w:hAnsi="仿宋" w:eastAsia="仿宋"/>
                <w:color w:val="000000" w:themeColor="text1"/>
                <w:sz w:val="24"/>
                <w:szCs w:val="24"/>
              </w:rPr>
              <w:t>；合营企业[0</w:t>
            </w:r>
            <w:r>
              <w:rPr>
                <w:rFonts w:ascii="仿宋" w:hAnsi="仿宋" w:eastAsia="仿宋"/>
                <w:color w:val="000000" w:themeColor="text1"/>
                <w:sz w:val="24"/>
                <w:szCs w:val="24"/>
              </w:rPr>
              <w:t>-5%</w:t>
            </w:r>
            <w:r>
              <w:rPr>
                <w:rFonts w:hint="eastAsia" w:ascii="仿宋" w:hAnsi="仿宋" w:eastAsia="仿宋"/>
                <w:color w:val="000000" w:themeColor="text1"/>
                <w:sz w:val="24"/>
                <w:szCs w:val="24"/>
              </w:rPr>
              <w:t>]（预计）；集中双方合计[</w:t>
            </w:r>
            <w:r>
              <w:rPr>
                <w:rFonts w:ascii="仿宋" w:hAnsi="仿宋" w:eastAsia="仿宋"/>
                <w:color w:val="000000" w:themeColor="text1"/>
                <w:sz w:val="24"/>
                <w:szCs w:val="24"/>
              </w:rPr>
              <w:t>5-10%]</w:t>
            </w:r>
            <w:r>
              <w:rPr>
                <w:rFonts w:hint="eastAsia" w:ascii="仿宋" w:hAnsi="仿宋" w:eastAsia="仿宋"/>
                <w:color w:val="000000" w:themeColor="text1"/>
                <w:sz w:val="24"/>
                <w:szCs w:val="24"/>
              </w:rPr>
              <w:t>。</w:t>
            </w:r>
          </w:p>
        </w:tc>
      </w:tr>
    </w:tbl>
    <w:p>
      <w:pPr>
        <w:snapToGrid w:val="0"/>
        <w:spacing w:line="240" w:lineRule="exact"/>
        <w:jc w:val="left"/>
        <w:rPr>
          <w:rFonts w:ascii="楷体_GB2312" w:hAnsi="宋体" w:eastAsia="楷体_GB2312"/>
          <w:color w:val="000000" w:themeColor="text1"/>
          <w:sz w:val="24"/>
          <w:szCs w:val="24"/>
        </w:rPr>
      </w:pPr>
    </w:p>
    <w:p>
      <w:pPr>
        <w:snapToGrid w:val="0"/>
        <w:spacing w:line="240" w:lineRule="exact"/>
        <w:jc w:val="left"/>
        <w:rPr>
          <w:rFonts w:ascii="方正仿宋_GBK" w:hAnsi="宋体" w:eastAsia="方正仿宋_GBK"/>
          <w:color w:val="000000" w:themeColor="text1"/>
          <w:sz w:val="24"/>
          <w:szCs w:val="24"/>
        </w:rPr>
      </w:pPr>
      <w:r>
        <w:rPr>
          <w:rFonts w:hint="eastAsia" w:ascii="方正仿宋_GBK" w:hAnsi="宋体" w:eastAsia="方正仿宋_GBK"/>
          <w:color w:val="000000" w:themeColor="text1"/>
          <w:sz w:val="24"/>
          <w:szCs w:val="24"/>
        </w:rPr>
        <w:t>注解：</w:t>
      </w:r>
    </w:p>
    <w:p>
      <w:pPr>
        <w:snapToGrid w:val="0"/>
        <w:spacing w:line="360" w:lineRule="auto"/>
        <w:ind w:firstLine="480" w:firstLineChars="200"/>
        <w:jc w:val="left"/>
        <w:rPr>
          <w:rFonts w:ascii="方正仿宋_GBK" w:hAnsi="宋体" w:eastAsia="方正仿宋_GBK"/>
          <w:color w:val="000000" w:themeColor="text1"/>
          <w:sz w:val="24"/>
          <w:szCs w:val="24"/>
        </w:rPr>
      </w:pPr>
      <w:r>
        <w:rPr>
          <w:rFonts w:hint="eastAsia" w:ascii="方正仿宋_GBK" w:hAnsi="宋体" w:eastAsia="方正仿宋_GBK"/>
          <w:color w:val="000000" w:themeColor="text1"/>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color w:val="000000" w:themeColor="text1"/>
          <w:sz w:val="28"/>
          <w:szCs w:val="28"/>
        </w:rPr>
      </w:pPr>
      <w:r>
        <w:rPr>
          <w:rFonts w:hint="eastAsia" w:ascii="方正仿宋_GBK" w:hAnsi="宋体" w:eastAsia="方正仿宋_GBK"/>
          <w:color w:val="000000" w:themeColor="text1"/>
          <w:sz w:val="24"/>
          <w:szCs w:val="24"/>
        </w:rPr>
        <w:t>2.申报方申请简易案件的理由是基于第4项、第5项时，无须在备注中说明相关市场和市场份额。</w:t>
      </w:r>
      <w:r>
        <w:rPr>
          <w:rFonts w:hint="eastAsia" w:ascii="方正仿宋_GBK" w:hAnsi="宋体" w:eastAsia="方正仿宋_GBK"/>
          <w:color w:val="000000" w:themeColor="text1"/>
          <w:sz w:val="24"/>
          <w:szCs w:val="24"/>
        </w:rPr>
        <w:br w:type="textWrapping"/>
      </w:r>
      <w:r>
        <w:rPr>
          <w:rFonts w:hint="eastAsia" w:ascii="方正仿宋_GBK" w:hAnsi="宋体" w:eastAsia="方正仿宋_GBK"/>
          <w:color w:val="000000" w:themeColor="text1"/>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Pr>
        <w:rPr>
          <w:color w:val="000000" w:themeColor="text1"/>
        </w:rPr>
      </w:pPr>
    </w:p>
    <w:p>
      <w:pPr>
        <w:rPr>
          <w:color w:val="000000" w:themeColor="text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方正仿宋_GBK">
    <w:panose1 w:val="02000000000000000000"/>
    <w:charset w:val="86"/>
    <w:family w:val="script"/>
    <w:pitch w:val="default"/>
    <w:sig w:usb0="A00002BF" w:usb1="38CF7CFA" w:usb2="00082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37400"/>
    <w:rsid w:val="000D7EBA"/>
    <w:rsid w:val="001164CD"/>
    <w:rsid w:val="00155717"/>
    <w:rsid w:val="001837A3"/>
    <w:rsid w:val="002B6283"/>
    <w:rsid w:val="002E7207"/>
    <w:rsid w:val="003058BF"/>
    <w:rsid w:val="0039713D"/>
    <w:rsid w:val="003A0DD2"/>
    <w:rsid w:val="003B2082"/>
    <w:rsid w:val="003C0AEB"/>
    <w:rsid w:val="003D62D6"/>
    <w:rsid w:val="004A35DF"/>
    <w:rsid w:val="004F7688"/>
    <w:rsid w:val="005D792B"/>
    <w:rsid w:val="006124C6"/>
    <w:rsid w:val="006467D8"/>
    <w:rsid w:val="006A531B"/>
    <w:rsid w:val="006F7693"/>
    <w:rsid w:val="00710140"/>
    <w:rsid w:val="0076592E"/>
    <w:rsid w:val="007B5472"/>
    <w:rsid w:val="007F2275"/>
    <w:rsid w:val="00915F0F"/>
    <w:rsid w:val="00944DA6"/>
    <w:rsid w:val="00944E0A"/>
    <w:rsid w:val="009532DF"/>
    <w:rsid w:val="00997019"/>
    <w:rsid w:val="009A5029"/>
    <w:rsid w:val="009C1E54"/>
    <w:rsid w:val="009D38D5"/>
    <w:rsid w:val="009E106C"/>
    <w:rsid w:val="009F1824"/>
    <w:rsid w:val="00A53F26"/>
    <w:rsid w:val="00AA0CC5"/>
    <w:rsid w:val="00AE5D8F"/>
    <w:rsid w:val="00B16AFE"/>
    <w:rsid w:val="00B65DD5"/>
    <w:rsid w:val="00B93BBD"/>
    <w:rsid w:val="00BD10B6"/>
    <w:rsid w:val="00C07076"/>
    <w:rsid w:val="00CB00DF"/>
    <w:rsid w:val="00D73C72"/>
    <w:rsid w:val="00E0592B"/>
    <w:rsid w:val="00E31738"/>
    <w:rsid w:val="00E86786"/>
    <w:rsid w:val="00ED2F80"/>
    <w:rsid w:val="00F1624E"/>
    <w:rsid w:val="00F32F8A"/>
    <w:rsid w:val="00F810AA"/>
    <w:rsid w:val="00FB43EC"/>
    <w:rsid w:val="00FB6B40"/>
    <w:rsid w:val="04566488"/>
    <w:rsid w:val="0ACA678C"/>
    <w:rsid w:val="1AD16643"/>
    <w:rsid w:val="1BC63B88"/>
    <w:rsid w:val="1C050D3B"/>
    <w:rsid w:val="1FEB23C8"/>
    <w:rsid w:val="2273617B"/>
    <w:rsid w:val="295729FE"/>
    <w:rsid w:val="4CF855BC"/>
    <w:rsid w:val="57780BC3"/>
    <w:rsid w:val="58347437"/>
    <w:rsid w:val="58F66832"/>
    <w:rsid w:val="5EFC3886"/>
    <w:rsid w:val="657D6DD6"/>
    <w:rsid w:val="68216798"/>
    <w:rsid w:val="69120A9D"/>
    <w:rsid w:val="70EE7185"/>
    <w:rsid w:val="7596169C"/>
    <w:rsid w:val="79594649"/>
    <w:rsid w:val="7B3B18D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rFonts w:ascii="Calibri" w:hAnsi="Calibri" w:eastAsia="宋体" w:cs="Times New Roman"/>
      <w:sz w:val="18"/>
      <w:szCs w:val="18"/>
    </w:rPr>
  </w:style>
  <w:style w:type="character" w:customStyle="1" w:styleId="7">
    <w:name w:val="页脚 字符"/>
    <w:basedOn w:val="5"/>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162</Words>
  <Characters>926</Characters>
  <Lines>7</Lines>
  <Paragraphs>2</Paragraphs>
  <TotalTime>11</TotalTime>
  <ScaleCrop>false</ScaleCrop>
  <LinksUpToDate>false</LinksUpToDate>
  <CharactersWithSpaces>1086</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测试15</cp:lastModifiedBy>
  <cp:lastPrinted>2020-06-19T07:37:00Z</cp:lastPrinted>
  <dcterms:modified xsi:type="dcterms:W3CDTF">2021-08-17T06:50:12Z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