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F4859E" w14:textId="77777777" w:rsidR="00CB00DF" w:rsidRPr="0080650A" w:rsidRDefault="00CB00DF" w:rsidP="00CB00DF">
      <w:pPr>
        <w:spacing w:line="440" w:lineRule="exact"/>
        <w:jc w:val="center"/>
        <w:rPr>
          <w:rFonts w:ascii="Times New Roman" w:hAnsi="Times New Roman"/>
          <w:b/>
          <w:bCs/>
          <w:sz w:val="30"/>
          <w:szCs w:val="30"/>
        </w:rPr>
      </w:pPr>
      <w:r w:rsidRPr="0080650A">
        <w:rPr>
          <w:rFonts w:ascii="Times New Roman" w:hAnsi="Times New Roman"/>
          <w:b/>
          <w:bCs/>
          <w:sz w:val="30"/>
          <w:szCs w:val="30"/>
        </w:rPr>
        <w:t>经营者集中简易案件公示表</w:t>
      </w:r>
    </w:p>
    <w:p w14:paraId="4AF485A0" w14:textId="77777777" w:rsidR="00CB00DF" w:rsidRPr="0080650A" w:rsidRDefault="00CB00DF" w:rsidP="00CB00DF">
      <w:pPr>
        <w:spacing w:line="440" w:lineRule="exact"/>
        <w:ind w:firstLineChars="302" w:firstLine="846"/>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80650A" w14:paraId="4AF485A3" w14:textId="77777777" w:rsidTr="00CB00DF">
        <w:tc>
          <w:tcPr>
            <w:tcW w:w="1809" w:type="dxa"/>
            <w:shd w:val="clear" w:color="auto" w:fill="D9D9D9"/>
            <w:vAlign w:val="center"/>
          </w:tcPr>
          <w:p w14:paraId="4AF485A1" w14:textId="77777777" w:rsidR="00CB00DF" w:rsidRPr="0080650A" w:rsidRDefault="00CB00DF" w:rsidP="005E48C6">
            <w:pPr>
              <w:spacing w:before="120" w:after="120"/>
              <w:jc w:val="center"/>
              <w:rPr>
                <w:rFonts w:ascii="Times New Roman" w:hAnsi="Times New Roman"/>
                <w:b/>
                <w:bCs/>
                <w:color w:val="333333"/>
                <w:kern w:val="0"/>
                <w:sz w:val="24"/>
                <w:szCs w:val="24"/>
                <w:bdr w:val="none" w:sz="0" w:space="0" w:color="auto" w:frame="1"/>
              </w:rPr>
            </w:pPr>
            <w:r w:rsidRPr="0080650A">
              <w:rPr>
                <w:rFonts w:ascii="Times New Roman" w:hAnsi="Times New Roman"/>
                <w:b/>
                <w:bCs/>
                <w:color w:val="333333"/>
                <w:kern w:val="0"/>
                <w:sz w:val="24"/>
                <w:szCs w:val="24"/>
                <w:bdr w:val="none" w:sz="0" w:space="0" w:color="auto" w:frame="1"/>
              </w:rPr>
              <w:t>案件名称</w:t>
            </w:r>
          </w:p>
        </w:tc>
        <w:tc>
          <w:tcPr>
            <w:tcW w:w="6949" w:type="dxa"/>
            <w:gridSpan w:val="2"/>
          </w:tcPr>
          <w:p w14:paraId="4AF485A2" w14:textId="5EDEA2E1" w:rsidR="00CB00DF" w:rsidRPr="0080650A" w:rsidRDefault="002658FE" w:rsidP="005E48C6">
            <w:pPr>
              <w:spacing w:before="120" w:after="120"/>
              <w:rPr>
                <w:rFonts w:ascii="Times New Roman" w:hAnsi="Times New Roman"/>
                <w:color w:val="333333"/>
                <w:kern w:val="0"/>
                <w:sz w:val="24"/>
                <w:szCs w:val="24"/>
                <w:bdr w:val="none" w:sz="0" w:space="0" w:color="auto" w:frame="1"/>
              </w:rPr>
            </w:pPr>
            <w:r w:rsidRPr="0080650A">
              <w:rPr>
                <w:rFonts w:ascii="Times New Roman" w:hAnsi="Times New Roman" w:hint="eastAsia"/>
                <w:color w:val="333333"/>
                <w:kern w:val="0"/>
                <w:sz w:val="24"/>
                <w:szCs w:val="24"/>
                <w:bdr w:val="none" w:sz="0" w:space="0" w:color="auto" w:frame="1"/>
              </w:rPr>
              <w:t>康明斯电力新加坡有限公司</w:t>
            </w:r>
            <w:r>
              <w:rPr>
                <w:rFonts w:ascii="Times New Roman" w:hAnsi="Times New Roman" w:hint="eastAsia"/>
                <w:color w:val="333333"/>
                <w:kern w:val="0"/>
                <w:sz w:val="24"/>
                <w:szCs w:val="24"/>
                <w:bdr w:val="none" w:sz="0" w:space="0" w:color="auto" w:frame="1"/>
              </w:rPr>
              <w:t>与</w:t>
            </w:r>
            <w:r w:rsidR="00023EAB" w:rsidRPr="0080650A">
              <w:rPr>
                <w:rFonts w:ascii="Times New Roman" w:hAnsi="Times New Roman" w:hint="eastAsia"/>
                <w:color w:val="333333"/>
                <w:kern w:val="0"/>
                <w:sz w:val="24"/>
                <w:szCs w:val="24"/>
                <w:bdr w:val="none" w:sz="0" w:space="0" w:color="auto" w:frame="1"/>
              </w:rPr>
              <w:t>恩泽海河（天津）股权投资基金合伙企业（有限合伙）新设合营企业案</w:t>
            </w:r>
          </w:p>
        </w:tc>
      </w:tr>
      <w:tr w:rsidR="00CB00DF" w:rsidRPr="0080650A" w14:paraId="4AF485A7" w14:textId="77777777" w:rsidTr="00CB00DF">
        <w:trPr>
          <w:trHeight w:val="993"/>
        </w:trPr>
        <w:tc>
          <w:tcPr>
            <w:tcW w:w="1809" w:type="dxa"/>
            <w:shd w:val="clear" w:color="auto" w:fill="D9D9D9"/>
            <w:vAlign w:val="center"/>
          </w:tcPr>
          <w:p w14:paraId="4AF485A4" w14:textId="77777777" w:rsidR="00F1624E" w:rsidRPr="0080650A" w:rsidRDefault="00CB00DF" w:rsidP="005E48C6">
            <w:pPr>
              <w:spacing w:before="120" w:after="120"/>
              <w:jc w:val="center"/>
              <w:rPr>
                <w:rFonts w:ascii="Times New Roman" w:hAnsi="Times New Roman"/>
                <w:b/>
                <w:bCs/>
                <w:color w:val="333333"/>
                <w:kern w:val="0"/>
                <w:sz w:val="24"/>
                <w:szCs w:val="24"/>
                <w:bdr w:val="none" w:sz="0" w:space="0" w:color="auto" w:frame="1"/>
              </w:rPr>
            </w:pPr>
            <w:r w:rsidRPr="0080650A">
              <w:rPr>
                <w:rFonts w:ascii="Times New Roman" w:hAnsi="Times New Roman"/>
                <w:b/>
                <w:bCs/>
                <w:color w:val="333333"/>
                <w:kern w:val="0"/>
                <w:sz w:val="24"/>
                <w:szCs w:val="24"/>
                <w:bdr w:val="none" w:sz="0" w:space="0" w:color="auto" w:frame="1"/>
              </w:rPr>
              <w:t>交易概况</w:t>
            </w:r>
          </w:p>
          <w:p w14:paraId="4AF485A5" w14:textId="77777777" w:rsidR="00CB00DF" w:rsidRPr="0080650A" w:rsidRDefault="00CB00DF" w:rsidP="005E48C6">
            <w:pPr>
              <w:spacing w:before="120" w:after="120"/>
              <w:jc w:val="center"/>
              <w:rPr>
                <w:rFonts w:ascii="Times New Roman" w:hAnsi="Times New Roman"/>
                <w:b/>
                <w:bCs/>
                <w:color w:val="333333"/>
                <w:kern w:val="0"/>
                <w:sz w:val="24"/>
                <w:szCs w:val="24"/>
                <w:bdr w:val="none" w:sz="0" w:space="0" w:color="auto" w:frame="1"/>
              </w:rPr>
            </w:pPr>
            <w:r w:rsidRPr="0080650A">
              <w:rPr>
                <w:rFonts w:ascii="Times New Roman" w:hAnsi="Times New Roman"/>
                <w:b/>
                <w:bCs/>
                <w:color w:val="333333"/>
                <w:kern w:val="0"/>
                <w:sz w:val="24"/>
                <w:szCs w:val="24"/>
                <w:bdr w:val="none" w:sz="0" w:space="0" w:color="auto" w:frame="1"/>
              </w:rPr>
              <w:t>（限</w:t>
            </w:r>
            <w:r w:rsidRPr="0080650A">
              <w:rPr>
                <w:rFonts w:ascii="Times New Roman" w:hAnsi="Times New Roman"/>
                <w:b/>
                <w:bCs/>
                <w:color w:val="333333"/>
                <w:kern w:val="0"/>
                <w:sz w:val="24"/>
                <w:szCs w:val="24"/>
                <w:bdr w:val="none" w:sz="0" w:space="0" w:color="auto" w:frame="1"/>
              </w:rPr>
              <w:t>200</w:t>
            </w:r>
            <w:r w:rsidRPr="0080650A">
              <w:rPr>
                <w:rFonts w:ascii="Times New Roman" w:hAnsi="Times New Roman"/>
                <w:b/>
                <w:bCs/>
                <w:color w:val="333333"/>
                <w:kern w:val="0"/>
                <w:sz w:val="24"/>
                <w:szCs w:val="24"/>
                <w:bdr w:val="none" w:sz="0" w:space="0" w:color="auto" w:frame="1"/>
              </w:rPr>
              <w:t>字内）</w:t>
            </w:r>
          </w:p>
        </w:tc>
        <w:tc>
          <w:tcPr>
            <w:tcW w:w="6949" w:type="dxa"/>
            <w:gridSpan w:val="2"/>
          </w:tcPr>
          <w:p w14:paraId="4AF485A6" w14:textId="47B359B6" w:rsidR="00CB00DF" w:rsidRPr="0080650A" w:rsidRDefault="0090777E" w:rsidP="005E48C6">
            <w:pPr>
              <w:spacing w:before="120" w:after="120"/>
              <w:rPr>
                <w:rFonts w:ascii="Times New Roman" w:hAnsi="Times New Roman"/>
                <w:color w:val="333333"/>
                <w:kern w:val="0"/>
                <w:sz w:val="24"/>
                <w:szCs w:val="24"/>
                <w:bdr w:val="none" w:sz="0" w:space="0" w:color="auto" w:frame="1"/>
              </w:rPr>
            </w:pPr>
            <w:r w:rsidRPr="0080650A">
              <w:rPr>
                <w:rFonts w:ascii="Times New Roman" w:hAnsi="Times New Roman" w:hint="eastAsia"/>
                <w:color w:val="333333"/>
                <w:kern w:val="0"/>
                <w:sz w:val="24"/>
                <w:szCs w:val="24"/>
                <w:bdr w:val="none" w:sz="0" w:space="0" w:color="auto" w:frame="1"/>
              </w:rPr>
              <w:t>康明斯电力新加坡有限公司（“康明斯新加坡”）</w:t>
            </w:r>
            <w:r>
              <w:rPr>
                <w:rFonts w:ascii="Times New Roman" w:hAnsi="Times New Roman" w:hint="eastAsia"/>
                <w:color w:val="333333"/>
                <w:kern w:val="0"/>
                <w:sz w:val="24"/>
                <w:szCs w:val="24"/>
                <w:bdr w:val="none" w:sz="0" w:space="0" w:color="auto" w:frame="1"/>
              </w:rPr>
              <w:t>与</w:t>
            </w:r>
            <w:r w:rsidR="00090EBE" w:rsidRPr="0080650A">
              <w:rPr>
                <w:rFonts w:ascii="Times New Roman" w:hAnsi="Times New Roman" w:hint="eastAsia"/>
                <w:color w:val="333333"/>
                <w:kern w:val="0"/>
                <w:sz w:val="24"/>
                <w:szCs w:val="24"/>
                <w:bdr w:val="none" w:sz="0" w:space="0" w:color="auto" w:frame="1"/>
              </w:rPr>
              <w:t>恩泽海河（天津）股权投资基金合伙企业（有限合伙）（“恩泽基金”）</w:t>
            </w:r>
            <w:r w:rsidR="00621DAC" w:rsidRPr="0080650A">
              <w:rPr>
                <w:rFonts w:ascii="Times New Roman" w:hAnsi="Times New Roman" w:hint="eastAsia"/>
                <w:color w:val="333333"/>
                <w:kern w:val="0"/>
                <w:sz w:val="24"/>
                <w:szCs w:val="24"/>
                <w:bdr w:val="none" w:sz="0" w:space="0" w:color="auto" w:frame="1"/>
              </w:rPr>
              <w:t>拟共同出资新设</w:t>
            </w:r>
            <w:r w:rsidR="0080650A">
              <w:rPr>
                <w:rFonts w:ascii="Times New Roman" w:hAnsi="Times New Roman" w:hint="eastAsia"/>
                <w:color w:val="333333"/>
                <w:kern w:val="0"/>
                <w:sz w:val="24"/>
                <w:szCs w:val="24"/>
                <w:bdr w:val="none" w:sz="0" w:space="0" w:color="auto" w:frame="1"/>
              </w:rPr>
              <w:t>一家</w:t>
            </w:r>
            <w:r w:rsidR="00621DAC" w:rsidRPr="0080650A">
              <w:rPr>
                <w:rFonts w:ascii="Times New Roman" w:hAnsi="Times New Roman" w:hint="eastAsia"/>
                <w:color w:val="333333"/>
                <w:kern w:val="0"/>
                <w:sz w:val="24"/>
                <w:szCs w:val="24"/>
                <w:bdr w:val="none" w:sz="0" w:space="0" w:color="auto" w:frame="1"/>
              </w:rPr>
              <w:t>合营企业，从事电解水制氢</w:t>
            </w:r>
            <w:r w:rsidR="0080650A">
              <w:rPr>
                <w:rFonts w:ascii="Times New Roman" w:hAnsi="Times New Roman" w:hint="eastAsia"/>
                <w:color w:val="333333"/>
                <w:kern w:val="0"/>
                <w:sz w:val="24"/>
                <w:szCs w:val="24"/>
                <w:bdr w:val="none" w:sz="0" w:space="0" w:color="auto" w:frame="1"/>
              </w:rPr>
              <w:t>设备相关业务</w:t>
            </w:r>
            <w:r w:rsidR="00621DAC" w:rsidRPr="0080650A">
              <w:rPr>
                <w:rFonts w:ascii="Times New Roman" w:hAnsi="Times New Roman" w:hint="eastAsia"/>
                <w:color w:val="333333"/>
                <w:kern w:val="0"/>
                <w:sz w:val="24"/>
                <w:szCs w:val="24"/>
                <w:bdr w:val="none" w:sz="0" w:space="0" w:color="auto" w:frame="1"/>
              </w:rPr>
              <w:t>。双方各自出资并持股</w:t>
            </w:r>
            <w:r w:rsidR="00621DAC" w:rsidRPr="0080650A">
              <w:rPr>
                <w:rFonts w:ascii="Times New Roman" w:hAnsi="Times New Roman" w:hint="eastAsia"/>
                <w:color w:val="333333"/>
                <w:kern w:val="0"/>
                <w:sz w:val="24"/>
                <w:szCs w:val="24"/>
                <w:bdr w:val="none" w:sz="0" w:space="0" w:color="auto" w:frame="1"/>
              </w:rPr>
              <w:t>50%</w:t>
            </w:r>
            <w:r w:rsidR="002B2720">
              <w:rPr>
                <w:rFonts w:ascii="Times New Roman" w:hAnsi="Times New Roman" w:hint="eastAsia"/>
                <w:color w:val="333333"/>
                <w:kern w:val="0"/>
                <w:sz w:val="24"/>
                <w:szCs w:val="24"/>
                <w:bdr w:val="none" w:sz="0" w:space="0" w:color="auto" w:frame="1"/>
              </w:rPr>
              <w:t>，并共同控制合营企业。</w:t>
            </w:r>
          </w:p>
        </w:tc>
      </w:tr>
      <w:tr w:rsidR="00933B04" w:rsidRPr="0080650A" w14:paraId="4AF485B0" w14:textId="77777777" w:rsidTr="00933B04">
        <w:trPr>
          <w:trHeight w:val="1837"/>
        </w:trPr>
        <w:tc>
          <w:tcPr>
            <w:tcW w:w="1809" w:type="dxa"/>
            <w:vMerge w:val="restart"/>
            <w:shd w:val="clear" w:color="auto" w:fill="D9D9D9"/>
            <w:vAlign w:val="center"/>
          </w:tcPr>
          <w:p w14:paraId="63E3B693" w14:textId="77777777" w:rsidR="00933B04" w:rsidRPr="0080650A" w:rsidRDefault="00933B04" w:rsidP="005E48C6">
            <w:pPr>
              <w:spacing w:before="120" w:after="120"/>
              <w:jc w:val="center"/>
              <w:rPr>
                <w:rFonts w:ascii="Times New Roman" w:hAnsi="Times New Roman"/>
                <w:b/>
                <w:bCs/>
                <w:color w:val="333333"/>
                <w:kern w:val="0"/>
                <w:sz w:val="24"/>
                <w:szCs w:val="24"/>
                <w:bdr w:val="none" w:sz="0" w:space="0" w:color="auto" w:frame="1"/>
              </w:rPr>
            </w:pPr>
            <w:r w:rsidRPr="0080650A">
              <w:rPr>
                <w:rFonts w:ascii="Times New Roman" w:hAnsi="Times New Roman"/>
                <w:b/>
                <w:bCs/>
                <w:color w:val="333333"/>
                <w:kern w:val="0"/>
                <w:sz w:val="24"/>
                <w:szCs w:val="24"/>
                <w:bdr w:val="none" w:sz="0" w:space="0" w:color="auto" w:frame="1"/>
              </w:rPr>
              <w:t>参与集中的</w:t>
            </w:r>
          </w:p>
          <w:p w14:paraId="4AF485AD" w14:textId="31E01D97" w:rsidR="00933B04" w:rsidRPr="0080650A" w:rsidRDefault="00933B04" w:rsidP="005E48C6">
            <w:pPr>
              <w:spacing w:before="120" w:after="120"/>
              <w:jc w:val="center"/>
              <w:rPr>
                <w:rFonts w:ascii="Times New Roman" w:hAnsi="Times New Roman"/>
                <w:b/>
                <w:bCs/>
                <w:color w:val="333333"/>
                <w:kern w:val="0"/>
                <w:sz w:val="24"/>
                <w:szCs w:val="24"/>
                <w:bdr w:val="none" w:sz="0" w:space="0" w:color="auto" w:frame="1"/>
              </w:rPr>
            </w:pPr>
            <w:r w:rsidRPr="0080650A">
              <w:rPr>
                <w:rFonts w:ascii="Times New Roman" w:hAnsi="Times New Roman"/>
                <w:b/>
                <w:bCs/>
                <w:color w:val="333333"/>
                <w:kern w:val="0"/>
                <w:sz w:val="24"/>
                <w:szCs w:val="24"/>
                <w:bdr w:val="none" w:sz="0" w:space="0" w:color="auto" w:frame="1"/>
              </w:rPr>
              <w:t>经营者简介</w:t>
            </w:r>
          </w:p>
        </w:tc>
        <w:tc>
          <w:tcPr>
            <w:tcW w:w="1796" w:type="dxa"/>
          </w:tcPr>
          <w:p w14:paraId="4AF485AE" w14:textId="5EB3EB8E" w:rsidR="00933B04" w:rsidRPr="0080650A" w:rsidRDefault="00933B04" w:rsidP="00933B04">
            <w:pPr>
              <w:spacing w:before="120" w:after="12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1</w:t>
            </w:r>
            <w:r w:rsidRPr="0080650A">
              <w:rPr>
                <w:rFonts w:ascii="Times New Roman" w:hAnsi="Times New Roman"/>
                <w:color w:val="333333"/>
                <w:kern w:val="0"/>
                <w:sz w:val="24"/>
                <w:szCs w:val="24"/>
                <w:bdr w:val="none" w:sz="0" w:space="0" w:color="auto" w:frame="1"/>
              </w:rPr>
              <w:t>、</w:t>
            </w:r>
            <w:r w:rsidRPr="0080650A">
              <w:rPr>
                <w:rFonts w:ascii="Times New Roman" w:hAnsi="Times New Roman" w:hint="eastAsia"/>
                <w:color w:val="333333"/>
                <w:kern w:val="0"/>
                <w:sz w:val="24"/>
                <w:szCs w:val="24"/>
                <w:bdr w:val="none" w:sz="0" w:space="0" w:color="auto" w:frame="1"/>
              </w:rPr>
              <w:t>康明斯新加坡</w:t>
            </w:r>
          </w:p>
        </w:tc>
        <w:tc>
          <w:tcPr>
            <w:tcW w:w="5153" w:type="dxa"/>
          </w:tcPr>
          <w:p w14:paraId="4AF485AF" w14:textId="3A0C71A9" w:rsidR="00933B04" w:rsidRPr="0080650A" w:rsidRDefault="001E2131" w:rsidP="00933B04">
            <w:pPr>
              <w:spacing w:before="120" w:after="120"/>
              <w:rPr>
                <w:rFonts w:ascii="Times New Roman" w:hAnsi="Times New Roman"/>
                <w:color w:val="333333"/>
                <w:kern w:val="0"/>
                <w:sz w:val="24"/>
                <w:szCs w:val="24"/>
                <w:bdr w:val="none" w:sz="0" w:space="0" w:color="auto" w:frame="1"/>
              </w:rPr>
            </w:pPr>
            <w:r w:rsidRPr="0080650A">
              <w:rPr>
                <w:rFonts w:ascii="Times New Roman" w:hAnsi="Times New Roman" w:hint="eastAsia"/>
                <w:color w:val="333333"/>
                <w:kern w:val="0"/>
                <w:sz w:val="24"/>
                <w:szCs w:val="24"/>
                <w:bdr w:val="none" w:sz="0" w:space="0" w:color="auto" w:frame="1"/>
              </w:rPr>
              <w:t>康明斯新加坡于</w:t>
            </w:r>
            <w:r w:rsidRPr="0080650A">
              <w:rPr>
                <w:rFonts w:ascii="Times New Roman" w:hAnsi="Times New Roman" w:hint="eastAsia"/>
                <w:color w:val="333333"/>
                <w:kern w:val="0"/>
                <w:sz w:val="24"/>
                <w:szCs w:val="24"/>
                <w:bdr w:val="none" w:sz="0" w:space="0" w:color="auto" w:frame="1"/>
              </w:rPr>
              <w:t>1979</w:t>
            </w:r>
            <w:r w:rsidRPr="0080650A">
              <w:rPr>
                <w:rFonts w:ascii="Times New Roman" w:hAnsi="Times New Roman" w:hint="eastAsia"/>
                <w:color w:val="333333"/>
                <w:kern w:val="0"/>
                <w:sz w:val="24"/>
                <w:szCs w:val="24"/>
                <w:bdr w:val="none" w:sz="0" w:space="0" w:color="auto" w:frame="1"/>
              </w:rPr>
              <w:t>年</w:t>
            </w:r>
            <w:r w:rsidRPr="006E1CE8">
              <w:rPr>
                <w:rFonts w:ascii="Times New Roman" w:hAnsi="Times New Roman" w:hint="eastAsia"/>
                <w:color w:val="333333"/>
                <w:kern w:val="0"/>
                <w:sz w:val="24"/>
                <w:szCs w:val="24"/>
                <w:bdr w:val="none" w:sz="0" w:space="0" w:color="auto" w:frame="1"/>
              </w:rPr>
              <w:t>10</w:t>
            </w:r>
            <w:r w:rsidRPr="006E1CE8">
              <w:rPr>
                <w:rFonts w:ascii="Times New Roman" w:hAnsi="Times New Roman" w:hint="eastAsia"/>
                <w:color w:val="333333"/>
                <w:kern w:val="0"/>
                <w:sz w:val="24"/>
                <w:szCs w:val="24"/>
                <w:bdr w:val="none" w:sz="0" w:space="0" w:color="auto" w:frame="1"/>
              </w:rPr>
              <w:t>月</w:t>
            </w:r>
            <w:r w:rsidRPr="006E1CE8">
              <w:rPr>
                <w:rFonts w:ascii="Times New Roman" w:hAnsi="Times New Roman" w:hint="eastAsia"/>
                <w:color w:val="333333"/>
                <w:kern w:val="0"/>
                <w:sz w:val="24"/>
                <w:szCs w:val="24"/>
                <w:bdr w:val="none" w:sz="0" w:space="0" w:color="auto" w:frame="1"/>
              </w:rPr>
              <w:t>3</w:t>
            </w:r>
            <w:r w:rsidRPr="006E1CE8">
              <w:rPr>
                <w:rFonts w:ascii="Times New Roman" w:hAnsi="Times New Roman" w:hint="eastAsia"/>
                <w:color w:val="333333"/>
                <w:kern w:val="0"/>
                <w:sz w:val="24"/>
                <w:szCs w:val="24"/>
                <w:bdr w:val="none" w:sz="0" w:space="0" w:color="auto" w:frame="1"/>
              </w:rPr>
              <w:t>日</w:t>
            </w:r>
            <w:r w:rsidRPr="0080650A">
              <w:rPr>
                <w:rFonts w:ascii="Times New Roman" w:hAnsi="Times New Roman" w:hint="eastAsia"/>
                <w:color w:val="333333"/>
                <w:kern w:val="0"/>
                <w:sz w:val="24"/>
                <w:szCs w:val="24"/>
                <w:bdr w:val="none" w:sz="0" w:space="0" w:color="auto" w:frame="1"/>
              </w:rPr>
              <w:t>成立于新加坡，其是康明斯有限公司（</w:t>
            </w:r>
            <w:r w:rsidRPr="0080650A">
              <w:rPr>
                <w:rFonts w:ascii="Times New Roman" w:hAnsi="Times New Roman" w:hint="eastAsia"/>
                <w:color w:val="333333"/>
                <w:kern w:val="0"/>
                <w:sz w:val="24"/>
                <w:szCs w:val="24"/>
                <w:bdr w:val="none" w:sz="0" w:space="0" w:color="auto" w:frame="1"/>
              </w:rPr>
              <w:t>Cummins Inc.</w:t>
            </w:r>
            <w:r w:rsidRPr="0080650A">
              <w:rPr>
                <w:rFonts w:ascii="Times New Roman" w:hAnsi="Times New Roman" w:hint="eastAsia"/>
                <w:color w:val="333333"/>
                <w:kern w:val="0"/>
                <w:sz w:val="24"/>
                <w:szCs w:val="24"/>
                <w:bdr w:val="none" w:sz="0" w:space="0" w:color="auto" w:frame="1"/>
              </w:rPr>
              <w:t>）的全资子公司。康明斯有限公司是一家在全球范围内从事发动机及其他相关产品设计、生产、销售业务并提供相关服务的大型集团公司。</w:t>
            </w:r>
          </w:p>
        </w:tc>
      </w:tr>
      <w:tr w:rsidR="00933B04" w:rsidRPr="0080650A" w14:paraId="2C2AB934" w14:textId="77777777" w:rsidTr="00CB00DF">
        <w:trPr>
          <w:trHeight w:val="404"/>
        </w:trPr>
        <w:tc>
          <w:tcPr>
            <w:tcW w:w="1809" w:type="dxa"/>
            <w:vMerge/>
            <w:shd w:val="clear" w:color="auto" w:fill="D9D9D9"/>
            <w:vAlign w:val="center"/>
          </w:tcPr>
          <w:p w14:paraId="64CC16C7" w14:textId="1B1A49D5" w:rsidR="00933B04" w:rsidRPr="0080650A" w:rsidRDefault="00933B04" w:rsidP="00933B04">
            <w:pPr>
              <w:spacing w:before="120" w:after="120"/>
              <w:jc w:val="center"/>
              <w:rPr>
                <w:rFonts w:ascii="Times New Roman" w:hAnsi="Times New Roman"/>
                <w:b/>
                <w:bCs/>
                <w:color w:val="333333"/>
                <w:kern w:val="0"/>
                <w:sz w:val="24"/>
                <w:szCs w:val="24"/>
                <w:bdr w:val="none" w:sz="0" w:space="0" w:color="auto" w:frame="1"/>
              </w:rPr>
            </w:pPr>
          </w:p>
        </w:tc>
        <w:tc>
          <w:tcPr>
            <w:tcW w:w="1796" w:type="dxa"/>
          </w:tcPr>
          <w:p w14:paraId="0492B6B9" w14:textId="0C3B7699" w:rsidR="00933B04" w:rsidRPr="0080650A" w:rsidRDefault="00933B04" w:rsidP="00933B04">
            <w:pPr>
              <w:spacing w:before="120" w:after="120"/>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2</w:t>
            </w:r>
            <w:r w:rsidRPr="0080650A">
              <w:rPr>
                <w:rFonts w:ascii="Times New Roman" w:hAnsi="Times New Roman"/>
                <w:color w:val="333333"/>
                <w:kern w:val="0"/>
                <w:sz w:val="24"/>
                <w:szCs w:val="24"/>
                <w:bdr w:val="none" w:sz="0" w:space="0" w:color="auto" w:frame="1"/>
              </w:rPr>
              <w:t>、</w:t>
            </w:r>
            <w:r w:rsidRPr="0080650A">
              <w:rPr>
                <w:rFonts w:ascii="Times New Roman" w:hAnsi="Times New Roman" w:hint="eastAsia"/>
                <w:color w:val="333333"/>
                <w:kern w:val="0"/>
                <w:sz w:val="24"/>
                <w:szCs w:val="24"/>
                <w:bdr w:val="none" w:sz="0" w:space="0" w:color="auto" w:frame="1"/>
              </w:rPr>
              <w:t>恩泽基金</w:t>
            </w:r>
          </w:p>
        </w:tc>
        <w:tc>
          <w:tcPr>
            <w:tcW w:w="5153" w:type="dxa"/>
          </w:tcPr>
          <w:p w14:paraId="0B78964D" w14:textId="0A2345DD" w:rsidR="00933B04" w:rsidRPr="0080650A" w:rsidRDefault="001E2131" w:rsidP="00933B04">
            <w:pPr>
              <w:spacing w:before="120" w:after="120"/>
              <w:rPr>
                <w:rFonts w:ascii="Times New Roman" w:hAnsi="Times New Roman"/>
                <w:color w:val="333333"/>
                <w:kern w:val="0"/>
                <w:sz w:val="24"/>
                <w:szCs w:val="24"/>
                <w:bdr w:val="none" w:sz="0" w:space="0" w:color="auto" w:frame="1"/>
              </w:rPr>
            </w:pPr>
            <w:r w:rsidRPr="0080650A">
              <w:rPr>
                <w:rFonts w:ascii="Times New Roman" w:hAnsi="Times New Roman" w:hint="eastAsia"/>
                <w:color w:val="333333"/>
                <w:kern w:val="0"/>
                <w:sz w:val="24"/>
                <w:szCs w:val="24"/>
                <w:bdr w:val="none" w:sz="0" w:space="0" w:color="auto" w:frame="1"/>
              </w:rPr>
              <w:t>恩泽基金</w:t>
            </w:r>
            <w:r>
              <w:rPr>
                <w:rFonts w:ascii="Times New Roman" w:hAnsi="Times New Roman" w:hint="eastAsia"/>
                <w:color w:val="333333"/>
                <w:kern w:val="0"/>
                <w:sz w:val="24"/>
                <w:szCs w:val="24"/>
                <w:bdr w:val="none" w:sz="0" w:space="0" w:color="auto" w:frame="1"/>
              </w:rPr>
              <w:t>于</w:t>
            </w:r>
            <w:r w:rsidRPr="004354AF">
              <w:rPr>
                <w:rFonts w:ascii="Times New Roman" w:hAnsi="Times New Roman" w:hint="eastAsia"/>
                <w:color w:val="333333"/>
                <w:kern w:val="0"/>
                <w:sz w:val="24"/>
                <w:szCs w:val="24"/>
                <w:bdr w:val="none" w:sz="0" w:space="0" w:color="auto" w:frame="1"/>
              </w:rPr>
              <w:t>2020</w:t>
            </w:r>
            <w:r w:rsidRPr="004354AF">
              <w:rPr>
                <w:rFonts w:ascii="Times New Roman" w:hAnsi="Times New Roman" w:hint="eastAsia"/>
                <w:color w:val="333333"/>
                <w:kern w:val="0"/>
                <w:sz w:val="24"/>
                <w:szCs w:val="24"/>
                <w:bdr w:val="none" w:sz="0" w:space="0" w:color="auto" w:frame="1"/>
              </w:rPr>
              <w:t>年</w:t>
            </w:r>
            <w:r w:rsidRPr="004354AF">
              <w:rPr>
                <w:rFonts w:ascii="Times New Roman" w:hAnsi="Times New Roman" w:hint="eastAsia"/>
                <w:color w:val="333333"/>
                <w:kern w:val="0"/>
                <w:sz w:val="24"/>
                <w:szCs w:val="24"/>
                <w:bdr w:val="none" w:sz="0" w:space="0" w:color="auto" w:frame="1"/>
              </w:rPr>
              <w:t>8</w:t>
            </w:r>
            <w:r w:rsidRPr="004354AF">
              <w:rPr>
                <w:rFonts w:ascii="Times New Roman" w:hAnsi="Times New Roman" w:hint="eastAsia"/>
                <w:color w:val="333333"/>
                <w:kern w:val="0"/>
                <w:sz w:val="24"/>
                <w:szCs w:val="24"/>
                <w:bdr w:val="none" w:sz="0" w:space="0" w:color="auto" w:frame="1"/>
              </w:rPr>
              <w:t>月</w:t>
            </w:r>
            <w:r w:rsidRPr="004354AF">
              <w:rPr>
                <w:rFonts w:ascii="Times New Roman" w:hAnsi="Times New Roman" w:hint="eastAsia"/>
                <w:color w:val="333333"/>
                <w:kern w:val="0"/>
                <w:sz w:val="24"/>
                <w:szCs w:val="24"/>
                <w:bdr w:val="none" w:sz="0" w:space="0" w:color="auto" w:frame="1"/>
              </w:rPr>
              <w:t>31</w:t>
            </w:r>
            <w:r w:rsidRPr="004354AF">
              <w:rPr>
                <w:rFonts w:ascii="Times New Roman" w:hAnsi="Times New Roman" w:hint="eastAsia"/>
                <w:color w:val="333333"/>
                <w:kern w:val="0"/>
                <w:sz w:val="24"/>
                <w:szCs w:val="24"/>
                <w:bdr w:val="none" w:sz="0" w:space="0" w:color="auto" w:frame="1"/>
              </w:rPr>
              <w:t>日</w:t>
            </w:r>
            <w:r>
              <w:rPr>
                <w:rFonts w:ascii="Times New Roman" w:hAnsi="Times New Roman" w:hint="eastAsia"/>
                <w:color w:val="333333"/>
                <w:kern w:val="0"/>
                <w:sz w:val="24"/>
                <w:szCs w:val="24"/>
                <w:bdr w:val="none" w:sz="0" w:space="0" w:color="auto" w:frame="1"/>
              </w:rPr>
              <w:t>成立于天津，</w:t>
            </w:r>
            <w:r w:rsidRPr="0080650A">
              <w:rPr>
                <w:rFonts w:ascii="Times New Roman" w:hAnsi="Times New Roman" w:hint="eastAsia"/>
                <w:color w:val="333333"/>
                <w:kern w:val="0"/>
                <w:sz w:val="24"/>
                <w:szCs w:val="24"/>
                <w:bdr w:val="none" w:sz="0" w:space="0" w:color="auto" w:frame="1"/>
              </w:rPr>
              <w:t>是中国石化集团的子公司，恩泽基金的主要业务系以私募基金从事股权投资、投资管理、资产管理等活动。恩泽基金的投资方向是以中国石化的主力业务为核心，以财务投资布局新材料、新能源、节能环保、高端智能制造、人工智能及大数据等战略性新兴产业。</w:t>
            </w:r>
          </w:p>
        </w:tc>
      </w:tr>
      <w:tr w:rsidR="00933B04" w:rsidRPr="0080650A" w14:paraId="4AF485B7" w14:textId="77777777" w:rsidTr="00CB00DF">
        <w:trPr>
          <w:trHeight w:val="279"/>
        </w:trPr>
        <w:tc>
          <w:tcPr>
            <w:tcW w:w="1809" w:type="dxa"/>
            <w:vMerge w:val="restart"/>
            <w:shd w:val="clear" w:color="auto" w:fill="D9D9D9"/>
            <w:vAlign w:val="center"/>
          </w:tcPr>
          <w:p w14:paraId="4AF485B5" w14:textId="77777777" w:rsidR="00933B04" w:rsidRPr="0080650A" w:rsidRDefault="00933B04" w:rsidP="00933B04">
            <w:pPr>
              <w:spacing w:before="120" w:after="120"/>
              <w:jc w:val="center"/>
              <w:rPr>
                <w:rFonts w:ascii="Times New Roman" w:hAnsi="Times New Roman"/>
                <w:b/>
                <w:bCs/>
                <w:color w:val="333333"/>
                <w:kern w:val="0"/>
                <w:sz w:val="24"/>
                <w:szCs w:val="24"/>
                <w:bdr w:val="none" w:sz="0" w:space="0" w:color="auto" w:frame="1"/>
              </w:rPr>
            </w:pPr>
            <w:r w:rsidRPr="0080650A">
              <w:rPr>
                <w:rFonts w:ascii="Times New Roman" w:hAnsi="Times New Roman"/>
                <w:b/>
                <w:bCs/>
                <w:color w:val="333333"/>
                <w:kern w:val="0"/>
                <w:sz w:val="24"/>
                <w:szCs w:val="24"/>
                <w:bdr w:val="none" w:sz="0" w:space="0" w:color="auto" w:frame="1"/>
              </w:rPr>
              <w:t>简易案件理由（可以单选，也可以多选）</w:t>
            </w:r>
          </w:p>
        </w:tc>
        <w:tc>
          <w:tcPr>
            <w:tcW w:w="6949" w:type="dxa"/>
            <w:gridSpan w:val="2"/>
          </w:tcPr>
          <w:p w14:paraId="4AF485B6" w14:textId="1FDA71F1" w:rsidR="00933B04" w:rsidRPr="0080650A" w:rsidRDefault="00933B04" w:rsidP="00933B04">
            <w:pPr>
              <w:spacing w:before="120" w:after="120"/>
              <w:rPr>
                <w:rFonts w:ascii="Times New Roman" w:hAnsi="Times New Roman"/>
                <w:color w:val="333333"/>
                <w:kern w:val="0"/>
                <w:sz w:val="24"/>
                <w:szCs w:val="24"/>
                <w:bdr w:val="none" w:sz="0" w:space="0" w:color="auto" w:frame="1"/>
              </w:rPr>
            </w:pPr>
            <w:r w:rsidRPr="0080650A">
              <w:rPr>
                <w:rFonts w:ascii="Times New Roman" w:hAnsi="Times New Roman"/>
                <w:color w:val="333333"/>
                <w:kern w:val="0"/>
                <w:sz w:val="24"/>
                <w:szCs w:val="24"/>
                <w:bdr w:val="none" w:sz="0" w:space="0" w:color="auto" w:frame="1"/>
              </w:rPr>
              <w:sym w:font="Wingdings" w:char="F0FE"/>
            </w:r>
            <w:r w:rsidRPr="0080650A">
              <w:rPr>
                <w:rFonts w:ascii="Times New Roman" w:hAnsi="Times New Roman"/>
                <w:color w:val="333333"/>
                <w:kern w:val="0"/>
                <w:sz w:val="24"/>
                <w:szCs w:val="24"/>
                <w:bdr w:val="none" w:sz="0" w:space="0" w:color="auto" w:frame="1"/>
              </w:rPr>
              <w:t>1.</w:t>
            </w:r>
            <w:r w:rsidRPr="0080650A">
              <w:rPr>
                <w:rFonts w:ascii="Times New Roman" w:hAnsi="Times New Roman"/>
                <w:color w:val="333333"/>
                <w:kern w:val="0"/>
                <w:sz w:val="24"/>
                <w:szCs w:val="24"/>
                <w:bdr w:val="none" w:sz="0" w:space="0" w:color="auto" w:frame="1"/>
              </w:rPr>
              <w:t>在同一相关市场，所有参与集中的经营者所占市场份额之和小于</w:t>
            </w:r>
            <w:r w:rsidRPr="0080650A">
              <w:rPr>
                <w:rFonts w:ascii="Times New Roman" w:hAnsi="Times New Roman"/>
                <w:color w:val="333333"/>
                <w:kern w:val="0"/>
                <w:sz w:val="24"/>
                <w:szCs w:val="24"/>
                <w:bdr w:val="none" w:sz="0" w:space="0" w:color="auto" w:frame="1"/>
              </w:rPr>
              <w:t>15%</w:t>
            </w:r>
            <w:r w:rsidRPr="0080650A">
              <w:rPr>
                <w:rFonts w:ascii="Times New Roman" w:hAnsi="Times New Roman"/>
                <w:color w:val="333333"/>
                <w:kern w:val="0"/>
                <w:sz w:val="24"/>
                <w:szCs w:val="24"/>
                <w:bdr w:val="none" w:sz="0" w:space="0" w:color="auto" w:frame="1"/>
              </w:rPr>
              <w:t>。</w:t>
            </w:r>
          </w:p>
        </w:tc>
      </w:tr>
      <w:tr w:rsidR="00933B04" w:rsidRPr="0080650A" w14:paraId="4AF485BA" w14:textId="77777777" w:rsidTr="00CB00DF">
        <w:trPr>
          <w:trHeight w:val="330"/>
        </w:trPr>
        <w:tc>
          <w:tcPr>
            <w:tcW w:w="1809" w:type="dxa"/>
            <w:vMerge/>
            <w:shd w:val="clear" w:color="auto" w:fill="D9D9D9"/>
            <w:vAlign w:val="center"/>
          </w:tcPr>
          <w:p w14:paraId="4AF485B8" w14:textId="77777777" w:rsidR="00933B04" w:rsidRPr="0080650A" w:rsidRDefault="00933B04" w:rsidP="00933B04">
            <w:pPr>
              <w:spacing w:before="120" w:after="120"/>
              <w:jc w:val="center"/>
              <w:rPr>
                <w:rFonts w:ascii="Times New Roman" w:hAnsi="Times New Roman"/>
                <w:b/>
                <w:bCs/>
                <w:color w:val="333333"/>
                <w:kern w:val="0"/>
                <w:sz w:val="24"/>
                <w:szCs w:val="24"/>
                <w:bdr w:val="none" w:sz="0" w:space="0" w:color="auto" w:frame="1"/>
              </w:rPr>
            </w:pPr>
          </w:p>
        </w:tc>
        <w:tc>
          <w:tcPr>
            <w:tcW w:w="6949" w:type="dxa"/>
            <w:gridSpan w:val="2"/>
          </w:tcPr>
          <w:p w14:paraId="4AF485B9" w14:textId="7B4D25D1" w:rsidR="00933B04" w:rsidRPr="0080650A" w:rsidRDefault="00933B04" w:rsidP="00933B04">
            <w:pPr>
              <w:spacing w:before="120" w:after="120"/>
              <w:rPr>
                <w:rFonts w:ascii="Times New Roman" w:hAnsi="Times New Roman"/>
                <w:color w:val="333333"/>
                <w:kern w:val="0"/>
                <w:sz w:val="24"/>
                <w:szCs w:val="24"/>
                <w:bdr w:val="none" w:sz="0" w:space="0" w:color="auto" w:frame="1"/>
              </w:rPr>
            </w:pPr>
            <w:r w:rsidRPr="0080650A">
              <w:rPr>
                <w:rFonts w:ascii="Times New Roman" w:hAnsi="Times New Roman"/>
                <w:color w:val="333333"/>
                <w:kern w:val="0"/>
                <w:sz w:val="24"/>
                <w:szCs w:val="24"/>
                <w:bdr w:val="none" w:sz="0" w:space="0" w:color="auto" w:frame="1"/>
              </w:rPr>
              <w:t>□2.</w:t>
            </w:r>
            <w:r w:rsidRPr="0080650A">
              <w:rPr>
                <w:rFonts w:ascii="Times New Roman" w:hAnsi="Times New Roman"/>
                <w:color w:val="333333"/>
                <w:kern w:val="0"/>
                <w:sz w:val="24"/>
                <w:szCs w:val="24"/>
                <w:bdr w:val="none" w:sz="0" w:space="0" w:color="auto" w:frame="1"/>
              </w:rPr>
              <w:t>存在上下游关系的参与集中的经营者，在上下游市场所占的市场份额均小于</w:t>
            </w:r>
            <w:r w:rsidRPr="0080650A">
              <w:rPr>
                <w:rFonts w:ascii="Times New Roman" w:hAnsi="Times New Roman"/>
                <w:color w:val="333333"/>
                <w:kern w:val="0"/>
                <w:sz w:val="24"/>
                <w:szCs w:val="24"/>
                <w:bdr w:val="none" w:sz="0" w:space="0" w:color="auto" w:frame="1"/>
              </w:rPr>
              <w:t>25%</w:t>
            </w:r>
            <w:r w:rsidRPr="0080650A">
              <w:rPr>
                <w:rFonts w:ascii="Times New Roman" w:hAnsi="Times New Roman"/>
                <w:color w:val="333333"/>
                <w:kern w:val="0"/>
                <w:sz w:val="24"/>
                <w:szCs w:val="24"/>
                <w:bdr w:val="none" w:sz="0" w:space="0" w:color="auto" w:frame="1"/>
              </w:rPr>
              <w:t>。</w:t>
            </w:r>
          </w:p>
        </w:tc>
      </w:tr>
      <w:tr w:rsidR="00933B04" w:rsidRPr="0080650A" w14:paraId="4AF485BD" w14:textId="77777777" w:rsidTr="00CB00DF">
        <w:trPr>
          <w:trHeight w:val="285"/>
        </w:trPr>
        <w:tc>
          <w:tcPr>
            <w:tcW w:w="1809" w:type="dxa"/>
            <w:vMerge/>
            <w:shd w:val="clear" w:color="auto" w:fill="D9D9D9"/>
            <w:vAlign w:val="center"/>
          </w:tcPr>
          <w:p w14:paraId="4AF485BB" w14:textId="77777777" w:rsidR="00933B04" w:rsidRPr="0080650A" w:rsidRDefault="00933B04" w:rsidP="00933B04">
            <w:pPr>
              <w:spacing w:before="120" w:after="120"/>
              <w:jc w:val="center"/>
              <w:rPr>
                <w:rFonts w:ascii="Times New Roman" w:hAnsi="Times New Roman"/>
                <w:b/>
                <w:bCs/>
                <w:color w:val="333333"/>
                <w:kern w:val="0"/>
                <w:sz w:val="24"/>
                <w:szCs w:val="24"/>
                <w:bdr w:val="none" w:sz="0" w:space="0" w:color="auto" w:frame="1"/>
              </w:rPr>
            </w:pPr>
          </w:p>
        </w:tc>
        <w:tc>
          <w:tcPr>
            <w:tcW w:w="6949" w:type="dxa"/>
            <w:gridSpan w:val="2"/>
          </w:tcPr>
          <w:p w14:paraId="4AF485BC" w14:textId="324099D2" w:rsidR="00933B04" w:rsidRPr="0080650A" w:rsidRDefault="00933B04" w:rsidP="00933B04">
            <w:pPr>
              <w:spacing w:before="120" w:after="120"/>
              <w:rPr>
                <w:rFonts w:ascii="Times New Roman" w:hAnsi="Times New Roman"/>
                <w:color w:val="333333"/>
                <w:kern w:val="0"/>
                <w:sz w:val="24"/>
                <w:szCs w:val="24"/>
                <w:bdr w:val="none" w:sz="0" w:space="0" w:color="auto" w:frame="1"/>
              </w:rPr>
            </w:pPr>
            <w:r w:rsidRPr="0080650A">
              <w:rPr>
                <w:rFonts w:ascii="Times New Roman" w:hAnsi="Times New Roman"/>
                <w:color w:val="333333"/>
                <w:kern w:val="0"/>
                <w:sz w:val="24"/>
                <w:szCs w:val="24"/>
                <w:bdr w:val="none" w:sz="0" w:space="0" w:color="auto" w:frame="1"/>
              </w:rPr>
              <w:t>□3.</w:t>
            </w:r>
            <w:r w:rsidRPr="0080650A">
              <w:rPr>
                <w:rFonts w:ascii="Times New Roman"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Pr="0080650A">
              <w:rPr>
                <w:rFonts w:ascii="Times New Roman" w:hAnsi="Times New Roman"/>
                <w:color w:val="333333"/>
                <w:kern w:val="0"/>
                <w:sz w:val="24"/>
                <w:szCs w:val="24"/>
                <w:bdr w:val="none" w:sz="0" w:space="0" w:color="auto" w:frame="1"/>
              </w:rPr>
              <w:t>25%</w:t>
            </w:r>
            <w:r w:rsidRPr="0080650A">
              <w:rPr>
                <w:rFonts w:ascii="Times New Roman" w:hAnsi="Times New Roman"/>
                <w:color w:val="333333"/>
                <w:kern w:val="0"/>
                <w:sz w:val="24"/>
                <w:szCs w:val="24"/>
                <w:bdr w:val="none" w:sz="0" w:space="0" w:color="auto" w:frame="1"/>
              </w:rPr>
              <w:t>。</w:t>
            </w:r>
          </w:p>
        </w:tc>
      </w:tr>
      <w:tr w:rsidR="00933B04" w:rsidRPr="0080650A" w14:paraId="4AF485C0" w14:textId="77777777" w:rsidTr="00CB00DF">
        <w:trPr>
          <w:trHeight w:val="870"/>
        </w:trPr>
        <w:tc>
          <w:tcPr>
            <w:tcW w:w="1809" w:type="dxa"/>
            <w:vMerge/>
            <w:shd w:val="clear" w:color="auto" w:fill="D9D9D9"/>
            <w:vAlign w:val="center"/>
          </w:tcPr>
          <w:p w14:paraId="4AF485BE" w14:textId="77777777" w:rsidR="00933B04" w:rsidRPr="0080650A" w:rsidRDefault="00933B04" w:rsidP="00933B04">
            <w:pPr>
              <w:spacing w:before="120" w:after="120"/>
              <w:jc w:val="center"/>
              <w:rPr>
                <w:rFonts w:ascii="Times New Roman" w:hAnsi="Times New Roman"/>
                <w:b/>
                <w:bCs/>
                <w:color w:val="333333"/>
                <w:kern w:val="0"/>
                <w:sz w:val="24"/>
                <w:szCs w:val="24"/>
                <w:bdr w:val="none" w:sz="0" w:space="0" w:color="auto" w:frame="1"/>
              </w:rPr>
            </w:pPr>
          </w:p>
        </w:tc>
        <w:tc>
          <w:tcPr>
            <w:tcW w:w="6949" w:type="dxa"/>
            <w:gridSpan w:val="2"/>
          </w:tcPr>
          <w:p w14:paraId="4AF485BF" w14:textId="756C98C2" w:rsidR="00933B04" w:rsidRPr="0080650A" w:rsidRDefault="00933B04" w:rsidP="00933B04">
            <w:pPr>
              <w:spacing w:before="120" w:after="120"/>
              <w:rPr>
                <w:rFonts w:ascii="Times New Roman" w:hAnsi="Times New Roman"/>
                <w:color w:val="333333"/>
                <w:kern w:val="0"/>
                <w:sz w:val="24"/>
                <w:szCs w:val="24"/>
                <w:bdr w:val="none" w:sz="0" w:space="0" w:color="auto" w:frame="1"/>
              </w:rPr>
            </w:pPr>
            <w:r w:rsidRPr="0080650A">
              <w:rPr>
                <w:rFonts w:ascii="Times New Roman" w:hAnsi="Times New Roman"/>
                <w:color w:val="333333"/>
                <w:kern w:val="0"/>
                <w:sz w:val="24"/>
                <w:szCs w:val="24"/>
                <w:bdr w:val="none" w:sz="0" w:space="0" w:color="auto" w:frame="1"/>
              </w:rPr>
              <w:t>□4.</w:t>
            </w:r>
            <w:r w:rsidRPr="0080650A">
              <w:rPr>
                <w:rFonts w:ascii="Times New Roman" w:hAnsi="Times New Roman"/>
                <w:color w:val="333333"/>
                <w:kern w:val="0"/>
                <w:sz w:val="24"/>
                <w:szCs w:val="24"/>
                <w:bdr w:val="none" w:sz="0" w:space="0" w:color="auto" w:frame="1"/>
              </w:rPr>
              <w:t>参与集中的经营者在中国境外设立合营企业，合营企业不在中国境内从事经济活动。</w:t>
            </w:r>
          </w:p>
        </w:tc>
      </w:tr>
      <w:tr w:rsidR="00933B04" w:rsidRPr="0080650A" w14:paraId="4AF485C3" w14:textId="77777777" w:rsidTr="00CB00DF">
        <w:trPr>
          <w:trHeight w:val="264"/>
        </w:trPr>
        <w:tc>
          <w:tcPr>
            <w:tcW w:w="1809" w:type="dxa"/>
            <w:vMerge/>
            <w:shd w:val="clear" w:color="auto" w:fill="D9D9D9"/>
            <w:vAlign w:val="center"/>
          </w:tcPr>
          <w:p w14:paraId="4AF485C1" w14:textId="77777777" w:rsidR="00933B04" w:rsidRPr="0080650A" w:rsidRDefault="00933B04" w:rsidP="00933B04">
            <w:pPr>
              <w:spacing w:before="120" w:after="120"/>
              <w:jc w:val="center"/>
              <w:rPr>
                <w:rFonts w:ascii="Times New Roman" w:hAnsi="Times New Roman"/>
                <w:b/>
                <w:bCs/>
                <w:color w:val="333333"/>
                <w:kern w:val="0"/>
                <w:sz w:val="24"/>
                <w:szCs w:val="24"/>
                <w:bdr w:val="none" w:sz="0" w:space="0" w:color="auto" w:frame="1"/>
              </w:rPr>
            </w:pPr>
          </w:p>
        </w:tc>
        <w:tc>
          <w:tcPr>
            <w:tcW w:w="6949" w:type="dxa"/>
            <w:gridSpan w:val="2"/>
          </w:tcPr>
          <w:p w14:paraId="4AF485C2" w14:textId="3CA7E2F1" w:rsidR="00933B04" w:rsidRPr="0080650A" w:rsidRDefault="00933B04" w:rsidP="00933B04">
            <w:pPr>
              <w:spacing w:before="120" w:after="120"/>
              <w:rPr>
                <w:rFonts w:ascii="Times New Roman" w:hAnsi="Times New Roman"/>
                <w:color w:val="333333"/>
                <w:kern w:val="0"/>
                <w:sz w:val="24"/>
                <w:szCs w:val="24"/>
                <w:bdr w:val="none" w:sz="0" w:space="0" w:color="auto" w:frame="1"/>
              </w:rPr>
            </w:pPr>
            <w:r w:rsidRPr="0080650A">
              <w:rPr>
                <w:rFonts w:ascii="Times New Roman" w:hAnsi="Times New Roman"/>
                <w:color w:val="333333"/>
                <w:kern w:val="0"/>
                <w:sz w:val="24"/>
                <w:szCs w:val="24"/>
                <w:bdr w:val="none" w:sz="0" w:space="0" w:color="auto" w:frame="1"/>
              </w:rPr>
              <w:t>□5.</w:t>
            </w:r>
            <w:r w:rsidRPr="0080650A">
              <w:rPr>
                <w:rFonts w:ascii="Times New Roman" w:hAnsi="Times New Roman"/>
                <w:color w:val="333333"/>
                <w:kern w:val="0"/>
                <w:sz w:val="24"/>
                <w:szCs w:val="24"/>
                <w:bdr w:val="none" w:sz="0" w:space="0" w:color="auto" w:frame="1"/>
              </w:rPr>
              <w:t>参与集中的经营者收购境外企业股权或资产的，该境外企业不在中国境内从事经济活动。</w:t>
            </w:r>
          </w:p>
        </w:tc>
      </w:tr>
      <w:tr w:rsidR="00933B04" w:rsidRPr="0080650A" w14:paraId="4AF485C6" w14:textId="77777777" w:rsidTr="00CB00DF">
        <w:trPr>
          <w:trHeight w:val="345"/>
        </w:trPr>
        <w:tc>
          <w:tcPr>
            <w:tcW w:w="1809" w:type="dxa"/>
            <w:vMerge/>
            <w:shd w:val="clear" w:color="auto" w:fill="D9D9D9"/>
            <w:vAlign w:val="center"/>
          </w:tcPr>
          <w:p w14:paraId="4AF485C4" w14:textId="77777777" w:rsidR="00933B04" w:rsidRPr="0080650A" w:rsidRDefault="00933B04" w:rsidP="00933B04">
            <w:pPr>
              <w:spacing w:before="120" w:after="120"/>
              <w:jc w:val="center"/>
              <w:rPr>
                <w:rFonts w:ascii="Times New Roman" w:hAnsi="Times New Roman"/>
                <w:b/>
                <w:bCs/>
                <w:color w:val="333333"/>
                <w:kern w:val="0"/>
                <w:sz w:val="24"/>
                <w:szCs w:val="24"/>
                <w:bdr w:val="none" w:sz="0" w:space="0" w:color="auto" w:frame="1"/>
              </w:rPr>
            </w:pPr>
          </w:p>
        </w:tc>
        <w:tc>
          <w:tcPr>
            <w:tcW w:w="6949" w:type="dxa"/>
            <w:gridSpan w:val="2"/>
          </w:tcPr>
          <w:p w14:paraId="4AF485C5" w14:textId="77777777" w:rsidR="00933B04" w:rsidRPr="0080650A" w:rsidRDefault="00933B04" w:rsidP="00933B04">
            <w:pPr>
              <w:spacing w:before="120" w:after="120"/>
              <w:rPr>
                <w:rFonts w:ascii="Times New Roman" w:hAnsi="Times New Roman"/>
                <w:color w:val="333333"/>
                <w:kern w:val="0"/>
                <w:sz w:val="24"/>
                <w:szCs w:val="24"/>
                <w:bdr w:val="none" w:sz="0" w:space="0" w:color="auto" w:frame="1"/>
              </w:rPr>
            </w:pPr>
            <w:r w:rsidRPr="0080650A">
              <w:rPr>
                <w:rFonts w:ascii="Times New Roman" w:hAnsi="Times New Roman"/>
                <w:color w:val="333333"/>
                <w:kern w:val="0"/>
                <w:sz w:val="24"/>
                <w:szCs w:val="24"/>
                <w:bdr w:val="none" w:sz="0" w:space="0" w:color="auto" w:frame="1"/>
              </w:rPr>
              <w:t>□6.</w:t>
            </w:r>
            <w:r w:rsidRPr="0080650A">
              <w:rPr>
                <w:rFonts w:ascii="Times New Roman" w:hAnsi="Times New Roman"/>
                <w:color w:val="333333"/>
                <w:kern w:val="0"/>
                <w:sz w:val="24"/>
                <w:szCs w:val="24"/>
                <w:bdr w:val="none" w:sz="0" w:space="0" w:color="auto" w:frame="1"/>
              </w:rPr>
              <w:t>由两个以上的经营者共同控制的合营企业，通过集中被其中一个或一个以上经营者控制。</w:t>
            </w:r>
          </w:p>
        </w:tc>
      </w:tr>
      <w:tr w:rsidR="00933B04" w:rsidRPr="0080650A" w14:paraId="4AF485C9" w14:textId="77777777" w:rsidTr="00CB00DF">
        <w:tc>
          <w:tcPr>
            <w:tcW w:w="1809" w:type="dxa"/>
            <w:shd w:val="clear" w:color="auto" w:fill="D9D9D9"/>
            <w:vAlign w:val="center"/>
          </w:tcPr>
          <w:p w14:paraId="4AF485C7" w14:textId="77777777" w:rsidR="00933B04" w:rsidRPr="0080650A" w:rsidRDefault="00933B04" w:rsidP="00933B04">
            <w:pPr>
              <w:spacing w:before="120" w:after="120"/>
              <w:jc w:val="center"/>
              <w:rPr>
                <w:rFonts w:ascii="Times New Roman" w:hAnsi="Times New Roman"/>
                <w:b/>
                <w:bCs/>
                <w:color w:val="333333"/>
                <w:kern w:val="0"/>
                <w:sz w:val="24"/>
                <w:szCs w:val="24"/>
                <w:bdr w:val="none" w:sz="0" w:space="0" w:color="auto" w:frame="1"/>
              </w:rPr>
            </w:pPr>
            <w:r w:rsidRPr="0080650A">
              <w:rPr>
                <w:rFonts w:ascii="Times New Roman" w:hAnsi="Times New Roman"/>
                <w:b/>
                <w:bCs/>
                <w:color w:val="333333"/>
                <w:kern w:val="0"/>
                <w:sz w:val="24"/>
                <w:szCs w:val="24"/>
                <w:bdr w:val="none" w:sz="0" w:space="0" w:color="auto" w:frame="1"/>
              </w:rPr>
              <w:t>备注</w:t>
            </w:r>
          </w:p>
        </w:tc>
        <w:tc>
          <w:tcPr>
            <w:tcW w:w="6949" w:type="dxa"/>
            <w:gridSpan w:val="2"/>
          </w:tcPr>
          <w:p w14:paraId="5E6113A3" w14:textId="77777777" w:rsidR="00933B04" w:rsidRPr="0080650A" w:rsidRDefault="00933B04" w:rsidP="00933B04">
            <w:pPr>
              <w:spacing w:before="120" w:after="120"/>
              <w:rPr>
                <w:rFonts w:ascii="仿宋" w:hAnsi="仿宋" w:cs="宋体"/>
                <w:kern w:val="0"/>
                <w:sz w:val="24"/>
                <w:szCs w:val="24"/>
                <w:bdr w:val="none" w:sz="0" w:space="0" w:color="auto" w:frame="1"/>
              </w:rPr>
            </w:pPr>
            <w:r w:rsidRPr="0080650A">
              <w:rPr>
                <w:rFonts w:ascii="仿宋" w:hAnsi="仿宋" w:cs="宋体" w:hint="eastAsia"/>
                <w:kern w:val="0"/>
                <w:sz w:val="24"/>
                <w:szCs w:val="24"/>
                <w:bdr w:val="none" w:sz="0" w:space="0" w:color="auto" w:frame="1"/>
              </w:rPr>
              <w:t>参与集中的经营者在相关市场的市场份额如下：</w:t>
            </w:r>
          </w:p>
          <w:p w14:paraId="23857442" w14:textId="77777777" w:rsidR="00933B04" w:rsidRPr="0080650A" w:rsidRDefault="00933B04" w:rsidP="00933B04">
            <w:pPr>
              <w:spacing w:before="120" w:after="120"/>
              <w:rPr>
                <w:rFonts w:ascii="仿宋" w:hAnsi="仿宋" w:cs="宋体"/>
                <w:kern w:val="0"/>
                <w:sz w:val="24"/>
                <w:szCs w:val="24"/>
                <w:u w:val="single"/>
                <w:bdr w:val="none" w:sz="0" w:space="0" w:color="auto" w:frame="1"/>
              </w:rPr>
            </w:pPr>
            <w:r w:rsidRPr="0080650A">
              <w:rPr>
                <w:rFonts w:ascii="仿宋" w:hAnsi="仿宋" w:hint="eastAsia"/>
                <w:sz w:val="24"/>
                <w:szCs w:val="24"/>
                <w:u w:val="single"/>
                <w:bdr w:val="none" w:sz="0" w:space="0" w:color="auto" w:frame="1"/>
              </w:rPr>
              <w:t>全球电解水制氢设备市场</w:t>
            </w:r>
          </w:p>
          <w:p w14:paraId="73E98F2B" w14:textId="7A4BC49D" w:rsidR="00933B04" w:rsidRPr="0080650A" w:rsidRDefault="00933B04" w:rsidP="00933B04">
            <w:pPr>
              <w:pStyle w:val="ae"/>
              <w:numPr>
                <w:ilvl w:val="0"/>
                <w:numId w:val="5"/>
              </w:numPr>
              <w:spacing w:before="120" w:after="120"/>
              <w:ind w:left="596" w:firstLineChars="0"/>
              <w:jc w:val="both"/>
              <w:rPr>
                <w:rFonts w:ascii="仿宋" w:hAnsi="仿宋"/>
                <w:bdr w:val="none" w:sz="0" w:space="0" w:color="auto" w:frame="1"/>
              </w:rPr>
            </w:pPr>
            <w:r w:rsidRPr="0080650A">
              <w:rPr>
                <w:rFonts w:ascii="仿宋" w:hAnsi="仿宋" w:hint="eastAsia"/>
                <w:bdr w:val="none" w:sz="0" w:space="0" w:color="auto" w:frame="1"/>
              </w:rPr>
              <w:lastRenderedPageBreak/>
              <w:t>中国石化集团：</w:t>
            </w:r>
            <w:r w:rsidRPr="0080650A">
              <w:rPr>
                <w:rFonts w:ascii="仿宋" w:hAnsi="仿宋" w:hint="eastAsia"/>
                <w:bdr w:val="none" w:sz="0" w:space="0" w:color="auto" w:frame="1"/>
              </w:rPr>
              <w:t>0</w:t>
            </w:r>
          </w:p>
          <w:p w14:paraId="62264CFF" w14:textId="7F946AAA" w:rsidR="00933B04" w:rsidRDefault="00933B04" w:rsidP="00933B04">
            <w:pPr>
              <w:pStyle w:val="ae"/>
              <w:numPr>
                <w:ilvl w:val="0"/>
                <w:numId w:val="5"/>
              </w:numPr>
              <w:spacing w:before="120" w:after="120"/>
              <w:ind w:left="596" w:firstLineChars="0"/>
              <w:jc w:val="both"/>
              <w:rPr>
                <w:rFonts w:ascii="仿宋" w:hAnsi="仿宋"/>
                <w:bdr w:val="none" w:sz="0" w:space="0" w:color="auto" w:frame="1"/>
              </w:rPr>
            </w:pPr>
            <w:r w:rsidRPr="0080650A">
              <w:rPr>
                <w:rFonts w:ascii="仿宋" w:hAnsi="仿宋" w:hint="eastAsia"/>
                <w:bdr w:val="none" w:sz="0" w:space="0" w:color="auto" w:frame="1"/>
              </w:rPr>
              <w:t>康明斯：</w:t>
            </w:r>
            <w:r w:rsidRPr="0080650A">
              <w:rPr>
                <w:rFonts w:ascii="仿宋" w:hAnsi="仿宋" w:hint="eastAsia"/>
                <w:bdr w:val="none" w:sz="0" w:space="0" w:color="auto" w:frame="1"/>
              </w:rPr>
              <w:t>[</w:t>
            </w:r>
            <w:r w:rsidRPr="0080650A">
              <w:rPr>
                <w:rFonts w:ascii="仿宋" w:hAnsi="仿宋"/>
                <w:bdr w:val="none" w:sz="0" w:space="0" w:color="auto" w:frame="1"/>
              </w:rPr>
              <w:t>10-</w:t>
            </w:r>
            <w:proofErr w:type="gramStart"/>
            <w:r w:rsidRPr="0080650A">
              <w:rPr>
                <w:rFonts w:ascii="仿宋" w:hAnsi="仿宋"/>
                <w:bdr w:val="none" w:sz="0" w:space="0" w:color="auto" w:frame="1"/>
              </w:rPr>
              <w:t>15]%</w:t>
            </w:r>
            <w:proofErr w:type="gramEnd"/>
          </w:p>
          <w:p w14:paraId="7BCCEDCC" w14:textId="10250989" w:rsidR="0058792B" w:rsidRPr="0080650A" w:rsidRDefault="0058792B" w:rsidP="00933B04">
            <w:pPr>
              <w:pStyle w:val="ae"/>
              <w:numPr>
                <w:ilvl w:val="0"/>
                <w:numId w:val="5"/>
              </w:numPr>
              <w:spacing w:before="120" w:after="120"/>
              <w:ind w:left="596" w:firstLineChars="0"/>
              <w:jc w:val="both"/>
              <w:rPr>
                <w:rFonts w:ascii="仿宋" w:hAnsi="仿宋"/>
                <w:bdr w:val="none" w:sz="0" w:space="0" w:color="auto" w:frame="1"/>
              </w:rPr>
            </w:pPr>
            <w:r>
              <w:rPr>
                <w:rFonts w:ascii="仿宋" w:hAnsi="仿宋" w:hint="eastAsia"/>
                <w:bdr w:val="none" w:sz="0" w:space="0" w:color="auto" w:frame="1"/>
              </w:rPr>
              <w:t>合资公司</w:t>
            </w:r>
            <w:r w:rsidR="00DD7C1D">
              <w:rPr>
                <w:rFonts w:ascii="仿宋" w:hAnsi="仿宋" w:hint="eastAsia"/>
                <w:bdr w:val="none" w:sz="0" w:space="0" w:color="auto" w:frame="1"/>
              </w:rPr>
              <w:t>：</w:t>
            </w:r>
            <w:r w:rsidR="00DD7C1D">
              <w:rPr>
                <w:rFonts w:ascii="仿宋" w:hAnsi="仿宋" w:hint="eastAsia"/>
                <w:bdr w:val="none" w:sz="0" w:space="0" w:color="auto" w:frame="1"/>
              </w:rPr>
              <w:t>[</w:t>
            </w:r>
            <w:r w:rsidR="00DD7C1D">
              <w:rPr>
                <w:rFonts w:ascii="仿宋" w:hAnsi="仿宋"/>
                <w:bdr w:val="none" w:sz="0" w:space="0" w:color="auto" w:frame="1"/>
              </w:rPr>
              <w:t>5-10]%</w:t>
            </w:r>
            <w:r w:rsidR="00DD7C1D">
              <w:rPr>
                <w:rFonts w:ascii="仿宋" w:hAnsi="仿宋" w:hint="eastAsia"/>
                <w:bdr w:val="none" w:sz="0" w:space="0" w:color="auto" w:frame="1"/>
              </w:rPr>
              <w:t>（预估未来</w:t>
            </w:r>
            <w:r w:rsidR="00DD7C1D">
              <w:rPr>
                <w:rFonts w:ascii="仿宋" w:hAnsi="仿宋" w:hint="eastAsia"/>
                <w:bdr w:val="none" w:sz="0" w:space="0" w:color="auto" w:frame="1"/>
              </w:rPr>
              <w:t>5</w:t>
            </w:r>
            <w:r w:rsidR="00DD7C1D">
              <w:rPr>
                <w:rFonts w:ascii="仿宋" w:hAnsi="仿宋" w:hint="eastAsia"/>
                <w:bdr w:val="none" w:sz="0" w:space="0" w:color="auto" w:frame="1"/>
              </w:rPr>
              <w:t>年内）</w:t>
            </w:r>
          </w:p>
          <w:p w14:paraId="13D4ADEF" w14:textId="12A289E1" w:rsidR="00933B04" w:rsidRPr="0080650A" w:rsidRDefault="00933B04" w:rsidP="00933B04">
            <w:pPr>
              <w:spacing w:before="120" w:after="120"/>
              <w:rPr>
                <w:rFonts w:ascii="仿宋" w:hAnsi="仿宋"/>
                <w:sz w:val="24"/>
                <w:szCs w:val="24"/>
                <w:u w:val="single"/>
                <w:bdr w:val="none" w:sz="0" w:space="0" w:color="auto" w:frame="1"/>
              </w:rPr>
            </w:pPr>
            <w:r w:rsidRPr="0080650A">
              <w:rPr>
                <w:rFonts w:ascii="仿宋" w:hAnsi="仿宋" w:hint="eastAsia"/>
                <w:sz w:val="24"/>
                <w:szCs w:val="24"/>
                <w:u w:val="single"/>
                <w:bdr w:val="none" w:sz="0" w:space="0" w:color="auto" w:frame="1"/>
              </w:rPr>
              <w:t>中国</w:t>
            </w:r>
            <w:r w:rsidR="0026524A">
              <w:rPr>
                <w:rFonts w:ascii="仿宋" w:hAnsi="仿宋" w:hint="eastAsia"/>
                <w:sz w:val="24"/>
                <w:szCs w:val="24"/>
                <w:u w:val="single"/>
                <w:bdr w:val="none" w:sz="0" w:space="0" w:color="auto" w:frame="1"/>
              </w:rPr>
              <w:t>境内</w:t>
            </w:r>
            <w:r w:rsidRPr="0080650A">
              <w:rPr>
                <w:rFonts w:ascii="仿宋" w:hAnsi="仿宋" w:hint="eastAsia"/>
                <w:sz w:val="24"/>
                <w:szCs w:val="24"/>
                <w:u w:val="single"/>
                <w:bdr w:val="none" w:sz="0" w:space="0" w:color="auto" w:frame="1"/>
              </w:rPr>
              <w:t>电解水制氢设备市场</w:t>
            </w:r>
          </w:p>
          <w:p w14:paraId="5D9D1F7A" w14:textId="77777777" w:rsidR="00933B04" w:rsidRPr="0080650A" w:rsidRDefault="00933B04" w:rsidP="00933B04">
            <w:pPr>
              <w:pStyle w:val="ae"/>
              <w:numPr>
                <w:ilvl w:val="0"/>
                <w:numId w:val="5"/>
              </w:numPr>
              <w:spacing w:before="120" w:after="120"/>
              <w:ind w:left="596" w:firstLineChars="0"/>
              <w:jc w:val="both"/>
              <w:rPr>
                <w:rFonts w:ascii="仿宋" w:hAnsi="仿宋"/>
                <w:bdr w:val="none" w:sz="0" w:space="0" w:color="auto" w:frame="1"/>
              </w:rPr>
            </w:pPr>
            <w:r w:rsidRPr="0080650A">
              <w:rPr>
                <w:rFonts w:ascii="仿宋" w:hAnsi="仿宋" w:hint="eastAsia"/>
                <w:bdr w:val="none" w:sz="0" w:space="0" w:color="auto" w:frame="1"/>
              </w:rPr>
              <w:t>中国石化集团：</w:t>
            </w:r>
            <w:r w:rsidRPr="0080650A">
              <w:rPr>
                <w:rFonts w:ascii="仿宋" w:hAnsi="仿宋" w:hint="eastAsia"/>
                <w:bdr w:val="none" w:sz="0" w:space="0" w:color="auto" w:frame="1"/>
              </w:rPr>
              <w:t>0</w:t>
            </w:r>
          </w:p>
          <w:p w14:paraId="239E0F01" w14:textId="77777777" w:rsidR="00933B04" w:rsidRPr="00DD7C1D" w:rsidRDefault="00933B04" w:rsidP="00933B04">
            <w:pPr>
              <w:pStyle w:val="ae"/>
              <w:numPr>
                <w:ilvl w:val="0"/>
                <w:numId w:val="5"/>
              </w:numPr>
              <w:spacing w:before="120" w:after="120"/>
              <w:ind w:left="596" w:firstLineChars="0"/>
              <w:jc w:val="both"/>
              <w:rPr>
                <w:rFonts w:ascii="仿宋" w:hAnsi="仿宋"/>
                <w:color w:val="333333"/>
                <w:bdr w:val="none" w:sz="0" w:space="0" w:color="auto" w:frame="1"/>
              </w:rPr>
            </w:pPr>
            <w:r w:rsidRPr="0080650A">
              <w:rPr>
                <w:rFonts w:ascii="仿宋" w:hAnsi="仿宋" w:hint="eastAsia"/>
                <w:bdr w:val="none" w:sz="0" w:space="0" w:color="auto" w:frame="1"/>
              </w:rPr>
              <w:t>康明斯：</w:t>
            </w:r>
            <w:r w:rsidRPr="0080650A">
              <w:rPr>
                <w:rFonts w:ascii="仿宋" w:hAnsi="仿宋" w:hint="eastAsia"/>
                <w:bdr w:val="none" w:sz="0" w:space="0" w:color="auto" w:frame="1"/>
              </w:rPr>
              <w:t>0</w:t>
            </w:r>
          </w:p>
          <w:p w14:paraId="4AF485C8" w14:textId="63EA74C3" w:rsidR="00DD7C1D" w:rsidRPr="0080650A" w:rsidRDefault="00DD7C1D" w:rsidP="00DD7C1D">
            <w:pPr>
              <w:pStyle w:val="ae"/>
              <w:numPr>
                <w:ilvl w:val="0"/>
                <w:numId w:val="5"/>
              </w:numPr>
              <w:spacing w:before="120" w:after="120"/>
              <w:ind w:left="596" w:firstLineChars="0"/>
              <w:jc w:val="both"/>
              <w:rPr>
                <w:rFonts w:ascii="仿宋" w:hAnsi="仿宋"/>
                <w:color w:val="333333"/>
                <w:bdr w:val="none" w:sz="0" w:space="0" w:color="auto" w:frame="1"/>
              </w:rPr>
            </w:pPr>
            <w:r>
              <w:rPr>
                <w:rFonts w:ascii="仿宋" w:hAnsi="仿宋" w:hint="eastAsia"/>
                <w:bdr w:val="none" w:sz="0" w:space="0" w:color="auto" w:frame="1"/>
              </w:rPr>
              <w:t>合资公司：</w:t>
            </w:r>
            <w:r>
              <w:rPr>
                <w:rFonts w:ascii="仿宋" w:hAnsi="仿宋" w:hint="eastAsia"/>
                <w:bdr w:val="none" w:sz="0" w:space="0" w:color="auto" w:frame="1"/>
              </w:rPr>
              <w:t>[</w:t>
            </w:r>
            <w:r>
              <w:rPr>
                <w:rFonts w:ascii="仿宋" w:hAnsi="仿宋"/>
                <w:bdr w:val="none" w:sz="0" w:space="0" w:color="auto" w:frame="1"/>
              </w:rPr>
              <w:t>10-15]%</w:t>
            </w:r>
            <w:r>
              <w:rPr>
                <w:rFonts w:ascii="仿宋" w:hAnsi="仿宋" w:hint="eastAsia"/>
                <w:bdr w:val="none" w:sz="0" w:space="0" w:color="auto" w:frame="1"/>
              </w:rPr>
              <w:t>（预估未来</w:t>
            </w:r>
            <w:r>
              <w:rPr>
                <w:rFonts w:ascii="仿宋" w:hAnsi="仿宋" w:hint="eastAsia"/>
                <w:bdr w:val="none" w:sz="0" w:space="0" w:color="auto" w:frame="1"/>
              </w:rPr>
              <w:t>5</w:t>
            </w:r>
            <w:r>
              <w:rPr>
                <w:rFonts w:ascii="仿宋" w:hAnsi="仿宋" w:hint="eastAsia"/>
                <w:bdr w:val="none" w:sz="0" w:space="0" w:color="auto" w:frame="1"/>
              </w:rPr>
              <w:t>年内）</w:t>
            </w:r>
          </w:p>
        </w:tc>
      </w:tr>
    </w:tbl>
    <w:p w14:paraId="4AF485CA" w14:textId="77777777" w:rsidR="00CB00DF" w:rsidRPr="0080650A" w:rsidRDefault="00CB00DF" w:rsidP="00CB00DF">
      <w:pPr>
        <w:snapToGrid w:val="0"/>
        <w:spacing w:line="240" w:lineRule="exact"/>
        <w:jc w:val="left"/>
        <w:rPr>
          <w:rFonts w:ascii="Times New Roman" w:hAnsi="Times New Roman"/>
          <w:sz w:val="24"/>
          <w:szCs w:val="24"/>
        </w:rPr>
      </w:pPr>
    </w:p>
    <w:p w14:paraId="4AF485CB" w14:textId="77777777" w:rsidR="00CB00DF" w:rsidRPr="0080650A" w:rsidRDefault="00CB00DF" w:rsidP="00CB00DF">
      <w:pPr>
        <w:snapToGrid w:val="0"/>
        <w:spacing w:line="240" w:lineRule="exact"/>
        <w:jc w:val="left"/>
        <w:rPr>
          <w:rFonts w:ascii="Times New Roman" w:hAnsi="Times New Roman"/>
          <w:sz w:val="24"/>
          <w:szCs w:val="24"/>
        </w:rPr>
      </w:pPr>
      <w:r w:rsidRPr="0080650A">
        <w:rPr>
          <w:rFonts w:ascii="Times New Roman" w:hAnsi="Times New Roman"/>
          <w:sz w:val="24"/>
          <w:szCs w:val="24"/>
        </w:rPr>
        <w:t>注解：</w:t>
      </w:r>
    </w:p>
    <w:p w14:paraId="4AF485CC" w14:textId="77777777" w:rsidR="00CB00DF" w:rsidRPr="0080650A" w:rsidRDefault="00CB00DF" w:rsidP="00CB00DF">
      <w:pPr>
        <w:snapToGrid w:val="0"/>
        <w:spacing w:line="360" w:lineRule="auto"/>
        <w:ind w:firstLineChars="200" w:firstLine="480"/>
        <w:jc w:val="left"/>
        <w:rPr>
          <w:rFonts w:ascii="Times New Roman" w:hAnsi="Times New Roman"/>
          <w:sz w:val="24"/>
          <w:szCs w:val="24"/>
        </w:rPr>
      </w:pPr>
      <w:r w:rsidRPr="0080650A">
        <w:rPr>
          <w:rFonts w:ascii="Times New Roman" w:hAnsi="Times New Roman"/>
          <w:sz w:val="24"/>
          <w:szCs w:val="24"/>
        </w:rPr>
        <w:t>1.</w:t>
      </w:r>
      <w:r w:rsidRPr="0080650A">
        <w:rPr>
          <w:rFonts w:ascii="Times New Roman" w:hAnsi="Times New Roman"/>
          <w:sz w:val="24"/>
          <w:szCs w:val="24"/>
        </w:rPr>
        <w:t>申报方申请简易案件的理由是基于</w:t>
      </w:r>
      <w:r w:rsidRPr="0080650A">
        <w:rPr>
          <w:rFonts w:ascii="Times New Roman" w:hAnsi="Times New Roman"/>
          <w:sz w:val="24"/>
          <w:szCs w:val="24"/>
        </w:rPr>
        <w:t>1-3</w:t>
      </w:r>
      <w:r w:rsidRPr="0080650A">
        <w:rPr>
          <w:rFonts w:ascii="Times New Roman" w:hAnsi="Times New Roman"/>
          <w:sz w:val="24"/>
          <w:szCs w:val="24"/>
        </w:rPr>
        <w:t>项时，须在备注中说明界定的相关商品市场和相关地域市场（无须阐述界定理由），以及相关市场份额；市场份额可以区间形式提供，区间幅度不应超过</w:t>
      </w:r>
      <w:r w:rsidRPr="0080650A">
        <w:rPr>
          <w:rFonts w:ascii="Times New Roman" w:hAnsi="Times New Roman"/>
          <w:sz w:val="24"/>
          <w:szCs w:val="24"/>
        </w:rPr>
        <w:t>5%</w:t>
      </w:r>
      <w:r w:rsidRPr="0080650A">
        <w:rPr>
          <w:rFonts w:ascii="Times New Roman" w:hAnsi="Times New Roman"/>
          <w:sz w:val="24"/>
          <w:szCs w:val="24"/>
        </w:rPr>
        <w:t>。</w:t>
      </w:r>
      <w:r w:rsidRPr="0080650A">
        <w:rPr>
          <w:rFonts w:ascii="Times New Roman" w:hAnsi="Times New Roman"/>
          <w:sz w:val="24"/>
          <w:szCs w:val="24"/>
        </w:rPr>
        <w:t>1-3</w:t>
      </w:r>
      <w:r w:rsidRPr="0080650A">
        <w:rPr>
          <w:rFonts w:ascii="Times New Roman" w:hAnsi="Times New Roman"/>
          <w:sz w:val="24"/>
          <w:szCs w:val="24"/>
        </w:rPr>
        <w:t>项可以多选，也可单选；没有勾选的，视为本集中不涉及该类型交易。</w:t>
      </w:r>
    </w:p>
    <w:p w14:paraId="4AF485CD" w14:textId="77777777" w:rsidR="00CB00DF" w:rsidRPr="0080650A" w:rsidRDefault="00CB00DF" w:rsidP="00CB00DF">
      <w:pPr>
        <w:spacing w:line="360" w:lineRule="auto"/>
        <w:ind w:firstLineChars="200" w:firstLine="480"/>
        <w:rPr>
          <w:rFonts w:ascii="Times New Roman" w:hAnsi="Times New Roman"/>
          <w:sz w:val="28"/>
          <w:szCs w:val="28"/>
        </w:rPr>
      </w:pPr>
      <w:r w:rsidRPr="0080650A">
        <w:rPr>
          <w:rFonts w:ascii="Times New Roman" w:hAnsi="Times New Roman"/>
          <w:sz w:val="24"/>
          <w:szCs w:val="24"/>
        </w:rPr>
        <w:t>2.</w:t>
      </w:r>
      <w:r w:rsidRPr="0080650A">
        <w:rPr>
          <w:rFonts w:ascii="Times New Roman" w:hAnsi="Times New Roman"/>
          <w:sz w:val="24"/>
          <w:szCs w:val="24"/>
        </w:rPr>
        <w:t>申报方申请简易案件的理由是基于第</w:t>
      </w:r>
      <w:r w:rsidRPr="0080650A">
        <w:rPr>
          <w:rFonts w:ascii="Times New Roman" w:hAnsi="Times New Roman"/>
          <w:sz w:val="24"/>
          <w:szCs w:val="24"/>
        </w:rPr>
        <w:t>4</w:t>
      </w:r>
      <w:r w:rsidRPr="0080650A">
        <w:rPr>
          <w:rFonts w:ascii="Times New Roman" w:hAnsi="Times New Roman"/>
          <w:sz w:val="24"/>
          <w:szCs w:val="24"/>
        </w:rPr>
        <w:t>项、第</w:t>
      </w:r>
      <w:r w:rsidRPr="0080650A">
        <w:rPr>
          <w:rFonts w:ascii="Times New Roman" w:hAnsi="Times New Roman"/>
          <w:sz w:val="24"/>
          <w:szCs w:val="24"/>
        </w:rPr>
        <w:t>5</w:t>
      </w:r>
      <w:r w:rsidRPr="0080650A">
        <w:rPr>
          <w:rFonts w:ascii="Times New Roman" w:hAnsi="Times New Roman"/>
          <w:sz w:val="24"/>
          <w:szCs w:val="24"/>
        </w:rPr>
        <w:t>项时，无须在备注中说明相关市场和市场份额。</w:t>
      </w:r>
      <w:r w:rsidRPr="0080650A">
        <w:rPr>
          <w:rFonts w:ascii="Times New Roman" w:hAnsi="Times New Roman"/>
          <w:sz w:val="24"/>
          <w:szCs w:val="24"/>
        </w:rPr>
        <w:br/>
        <w:t xml:space="preserve">    3.</w:t>
      </w:r>
      <w:r w:rsidRPr="0080650A">
        <w:rPr>
          <w:rFonts w:ascii="Times New Roman" w:hAnsi="Times New Roman"/>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80650A">
        <w:rPr>
          <w:rFonts w:ascii="Times New Roman" w:hAnsi="Times New Roman"/>
          <w:sz w:val="24"/>
          <w:szCs w:val="24"/>
        </w:rPr>
        <w:t>同时勾选第</w:t>
      </w:r>
      <w:r w:rsidRPr="0080650A">
        <w:rPr>
          <w:rFonts w:ascii="Times New Roman" w:hAnsi="Times New Roman"/>
          <w:sz w:val="24"/>
          <w:szCs w:val="24"/>
        </w:rPr>
        <w:t>1</w:t>
      </w:r>
      <w:r w:rsidRPr="0080650A">
        <w:rPr>
          <w:rFonts w:ascii="Times New Roman" w:hAnsi="Times New Roman"/>
          <w:sz w:val="24"/>
          <w:szCs w:val="24"/>
        </w:rPr>
        <w:t>项</w:t>
      </w:r>
      <w:proofErr w:type="gramEnd"/>
      <w:r w:rsidRPr="0080650A">
        <w:rPr>
          <w:rFonts w:ascii="Times New Roman" w:hAnsi="Times New Roman"/>
          <w:sz w:val="24"/>
          <w:szCs w:val="24"/>
        </w:rPr>
        <w:t>和第</w:t>
      </w:r>
      <w:r w:rsidRPr="0080650A">
        <w:rPr>
          <w:rFonts w:ascii="Times New Roman" w:hAnsi="Times New Roman"/>
          <w:sz w:val="24"/>
          <w:szCs w:val="24"/>
        </w:rPr>
        <w:t>6</w:t>
      </w:r>
      <w:r w:rsidRPr="0080650A">
        <w:rPr>
          <w:rFonts w:ascii="Times New Roman" w:hAnsi="Times New Roman"/>
          <w:sz w:val="24"/>
          <w:szCs w:val="24"/>
        </w:rPr>
        <w:t>项理由，并在备注中说明界定的相关商品市场和相关地域市场（无须阐述界定理由），以及相关市场份额。市场份额可以区间形式提供，区间幅度不应超过</w:t>
      </w:r>
      <w:r w:rsidRPr="0080650A">
        <w:rPr>
          <w:rFonts w:ascii="Times New Roman" w:hAnsi="Times New Roman"/>
          <w:sz w:val="24"/>
          <w:szCs w:val="24"/>
        </w:rPr>
        <w:t>5%</w:t>
      </w:r>
      <w:r w:rsidRPr="0080650A">
        <w:rPr>
          <w:rFonts w:ascii="Times New Roman" w:hAnsi="Times New Roman"/>
          <w:sz w:val="24"/>
          <w:szCs w:val="24"/>
        </w:rPr>
        <w:t>。</w:t>
      </w:r>
    </w:p>
    <w:p w14:paraId="4AF485CE" w14:textId="77777777" w:rsidR="00CB00DF" w:rsidRPr="0080650A" w:rsidRDefault="00CB00DF" w:rsidP="00CB00DF">
      <w:pPr>
        <w:rPr>
          <w:rFonts w:ascii="Times New Roman" w:hAnsi="Times New Roman"/>
        </w:rPr>
      </w:pPr>
    </w:p>
    <w:p w14:paraId="4AF485CF" w14:textId="77777777" w:rsidR="000F5E24" w:rsidRPr="0080650A" w:rsidRDefault="0026524A">
      <w:pPr>
        <w:rPr>
          <w:rFonts w:ascii="Times New Roman" w:hAnsi="Times New Roman"/>
        </w:rPr>
      </w:pPr>
    </w:p>
    <w:sectPr w:rsidR="000F5E24" w:rsidRPr="0080650A"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19803A" w14:textId="77777777" w:rsidR="00AA623C" w:rsidRDefault="00AA623C" w:rsidP="00A6791C">
      <w:r>
        <w:separator/>
      </w:r>
    </w:p>
  </w:endnote>
  <w:endnote w:type="continuationSeparator" w:id="0">
    <w:p w14:paraId="224F1AF5" w14:textId="77777777" w:rsidR="00AA623C" w:rsidRDefault="00AA623C" w:rsidP="00A67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698E24" w14:textId="77777777" w:rsidR="00AA623C" w:rsidRDefault="00AA623C" w:rsidP="00A6791C">
      <w:r>
        <w:separator/>
      </w:r>
    </w:p>
  </w:footnote>
  <w:footnote w:type="continuationSeparator" w:id="0">
    <w:p w14:paraId="141174AD" w14:textId="77777777" w:rsidR="00AA623C" w:rsidRDefault="00AA623C" w:rsidP="00A67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153083"/>
    <w:multiLevelType w:val="hybridMultilevel"/>
    <w:tmpl w:val="9050EDEE"/>
    <w:lvl w:ilvl="0" w:tplc="DEB2F910">
      <w:start w:val="1"/>
      <w:numFmt w:val="bullet"/>
      <w:lvlText w:val=""/>
      <w:lvlJc w:val="left"/>
      <w:pPr>
        <w:ind w:left="381" w:hanging="420"/>
      </w:pPr>
      <w:rPr>
        <w:rFonts w:ascii="Wingdings" w:hAnsi="Wingdings" w:hint="default"/>
      </w:rPr>
    </w:lvl>
    <w:lvl w:ilvl="1" w:tplc="04090003" w:tentative="1">
      <w:start w:val="1"/>
      <w:numFmt w:val="bullet"/>
      <w:lvlText w:val=""/>
      <w:lvlJc w:val="left"/>
      <w:pPr>
        <w:ind w:left="801" w:hanging="420"/>
      </w:pPr>
      <w:rPr>
        <w:rFonts w:ascii="Wingdings" w:hAnsi="Wingdings" w:hint="default"/>
      </w:rPr>
    </w:lvl>
    <w:lvl w:ilvl="2" w:tplc="04090005" w:tentative="1">
      <w:start w:val="1"/>
      <w:numFmt w:val="bullet"/>
      <w:lvlText w:val=""/>
      <w:lvlJc w:val="left"/>
      <w:pPr>
        <w:ind w:left="1221" w:hanging="420"/>
      </w:pPr>
      <w:rPr>
        <w:rFonts w:ascii="Wingdings" w:hAnsi="Wingdings" w:hint="default"/>
      </w:rPr>
    </w:lvl>
    <w:lvl w:ilvl="3" w:tplc="04090001" w:tentative="1">
      <w:start w:val="1"/>
      <w:numFmt w:val="bullet"/>
      <w:lvlText w:val=""/>
      <w:lvlJc w:val="left"/>
      <w:pPr>
        <w:ind w:left="1641" w:hanging="420"/>
      </w:pPr>
      <w:rPr>
        <w:rFonts w:ascii="Wingdings" w:hAnsi="Wingdings" w:hint="default"/>
      </w:rPr>
    </w:lvl>
    <w:lvl w:ilvl="4" w:tplc="04090003" w:tentative="1">
      <w:start w:val="1"/>
      <w:numFmt w:val="bullet"/>
      <w:lvlText w:val=""/>
      <w:lvlJc w:val="left"/>
      <w:pPr>
        <w:ind w:left="2061" w:hanging="420"/>
      </w:pPr>
      <w:rPr>
        <w:rFonts w:ascii="Wingdings" w:hAnsi="Wingdings" w:hint="default"/>
      </w:rPr>
    </w:lvl>
    <w:lvl w:ilvl="5" w:tplc="04090005" w:tentative="1">
      <w:start w:val="1"/>
      <w:numFmt w:val="bullet"/>
      <w:lvlText w:val=""/>
      <w:lvlJc w:val="left"/>
      <w:pPr>
        <w:ind w:left="2481" w:hanging="420"/>
      </w:pPr>
      <w:rPr>
        <w:rFonts w:ascii="Wingdings" w:hAnsi="Wingdings" w:hint="default"/>
      </w:rPr>
    </w:lvl>
    <w:lvl w:ilvl="6" w:tplc="04090001" w:tentative="1">
      <w:start w:val="1"/>
      <w:numFmt w:val="bullet"/>
      <w:lvlText w:val=""/>
      <w:lvlJc w:val="left"/>
      <w:pPr>
        <w:ind w:left="2901" w:hanging="420"/>
      </w:pPr>
      <w:rPr>
        <w:rFonts w:ascii="Wingdings" w:hAnsi="Wingdings" w:hint="default"/>
      </w:rPr>
    </w:lvl>
    <w:lvl w:ilvl="7" w:tplc="04090003" w:tentative="1">
      <w:start w:val="1"/>
      <w:numFmt w:val="bullet"/>
      <w:lvlText w:val=""/>
      <w:lvlJc w:val="left"/>
      <w:pPr>
        <w:ind w:left="3321" w:hanging="420"/>
      </w:pPr>
      <w:rPr>
        <w:rFonts w:ascii="Wingdings" w:hAnsi="Wingdings" w:hint="default"/>
      </w:rPr>
    </w:lvl>
    <w:lvl w:ilvl="8" w:tplc="04090005" w:tentative="1">
      <w:start w:val="1"/>
      <w:numFmt w:val="bullet"/>
      <w:lvlText w:val=""/>
      <w:lvlJc w:val="left"/>
      <w:pPr>
        <w:ind w:left="3741" w:hanging="420"/>
      </w:pPr>
      <w:rPr>
        <w:rFonts w:ascii="Wingdings" w:hAnsi="Wingdings" w:hint="default"/>
      </w:rPr>
    </w:lvl>
  </w:abstractNum>
  <w:abstractNum w:abstractNumId="1" w15:restartNumberingAfterBreak="0">
    <w:nsid w:val="1FDC63F1"/>
    <w:multiLevelType w:val="hybridMultilevel"/>
    <w:tmpl w:val="944A48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D081480"/>
    <w:multiLevelType w:val="hybridMultilevel"/>
    <w:tmpl w:val="2D6264FC"/>
    <w:lvl w:ilvl="0" w:tplc="DEB2F910">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50FF0933"/>
    <w:multiLevelType w:val="hybridMultilevel"/>
    <w:tmpl w:val="25A20368"/>
    <w:lvl w:ilvl="0" w:tplc="B428F64E">
      <w:start w:val="1"/>
      <w:numFmt w:val="decimal"/>
      <w:lvlText w:val="（%1）"/>
      <w:lvlJc w:val="left"/>
      <w:pPr>
        <w:ind w:left="1069" w:hanging="360"/>
      </w:pPr>
      <w:rPr>
        <w:rFonts w:hint="default"/>
      </w:rPr>
    </w:lvl>
    <w:lvl w:ilvl="1" w:tplc="788E71BE">
      <w:start w:val="1"/>
      <w:numFmt w:val="bullet"/>
      <w:lvlText w:val=""/>
      <w:lvlJc w:val="left"/>
      <w:pPr>
        <w:ind w:left="1549" w:hanging="420"/>
      </w:pPr>
      <w:rPr>
        <w:rFonts w:ascii="Wingdings" w:hAnsi="Wingdings" w:hint="default"/>
      </w:rPr>
    </w:lvl>
    <w:lvl w:ilvl="2" w:tplc="04090005">
      <w:start w:val="1"/>
      <w:numFmt w:val="bullet"/>
      <w:lvlText w:val=""/>
      <w:lvlJc w:val="left"/>
      <w:pPr>
        <w:ind w:left="1969" w:hanging="420"/>
      </w:pPr>
      <w:rPr>
        <w:rFonts w:ascii="Wingdings" w:hAnsi="Wingdings" w:hint="default"/>
      </w:rPr>
    </w:lvl>
    <w:lvl w:ilvl="3" w:tplc="04090001" w:tentative="1">
      <w:start w:val="1"/>
      <w:numFmt w:val="bullet"/>
      <w:lvlText w:val=""/>
      <w:lvlJc w:val="left"/>
      <w:pPr>
        <w:ind w:left="2389" w:hanging="420"/>
      </w:pPr>
      <w:rPr>
        <w:rFonts w:ascii="Wingdings" w:hAnsi="Wingdings" w:hint="default"/>
      </w:rPr>
    </w:lvl>
    <w:lvl w:ilvl="4" w:tplc="04090003" w:tentative="1">
      <w:start w:val="1"/>
      <w:numFmt w:val="bullet"/>
      <w:lvlText w:val=""/>
      <w:lvlJc w:val="left"/>
      <w:pPr>
        <w:ind w:left="2809" w:hanging="420"/>
      </w:pPr>
      <w:rPr>
        <w:rFonts w:ascii="Wingdings" w:hAnsi="Wingdings" w:hint="default"/>
      </w:rPr>
    </w:lvl>
    <w:lvl w:ilvl="5" w:tplc="04090005" w:tentative="1">
      <w:start w:val="1"/>
      <w:numFmt w:val="bullet"/>
      <w:lvlText w:val=""/>
      <w:lvlJc w:val="left"/>
      <w:pPr>
        <w:ind w:left="3229" w:hanging="420"/>
      </w:pPr>
      <w:rPr>
        <w:rFonts w:ascii="Wingdings" w:hAnsi="Wingdings" w:hint="default"/>
      </w:rPr>
    </w:lvl>
    <w:lvl w:ilvl="6" w:tplc="04090001" w:tentative="1">
      <w:start w:val="1"/>
      <w:numFmt w:val="bullet"/>
      <w:lvlText w:val=""/>
      <w:lvlJc w:val="left"/>
      <w:pPr>
        <w:ind w:left="3649" w:hanging="420"/>
      </w:pPr>
      <w:rPr>
        <w:rFonts w:ascii="Wingdings" w:hAnsi="Wingdings" w:hint="default"/>
      </w:rPr>
    </w:lvl>
    <w:lvl w:ilvl="7" w:tplc="04090003" w:tentative="1">
      <w:start w:val="1"/>
      <w:numFmt w:val="bullet"/>
      <w:lvlText w:val=""/>
      <w:lvlJc w:val="left"/>
      <w:pPr>
        <w:ind w:left="4069" w:hanging="420"/>
      </w:pPr>
      <w:rPr>
        <w:rFonts w:ascii="Wingdings" w:hAnsi="Wingdings" w:hint="default"/>
      </w:rPr>
    </w:lvl>
    <w:lvl w:ilvl="8" w:tplc="04090005" w:tentative="1">
      <w:start w:val="1"/>
      <w:numFmt w:val="bullet"/>
      <w:lvlText w:val=""/>
      <w:lvlJc w:val="left"/>
      <w:pPr>
        <w:ind w:left="4489" w:hanging="420"/>
      </w:pPr>
      <w:rPr>
        <w:rFonts w:ascii="Wingdings" w:hAnsi="Wingdings" w:hint="default"/>
      </w:rPr>
    </w:lvl>
  </w:abstractNum>
  <w:abstractNum w:abstractNumId="4" w15:restartNumberingAfterBreak="0">
    <w:nsid w:val="6B403873"/>
    <w:multiLevelType w:val="hybridMultilevel"/>
    <w:tmpl w:val="CAB64B30"/>
    <w:lvl w:ilvl="0" w:tplc="2702CC8C">
      <w:start w:val="3"/>
      <w:numFmt w:val="bullet"/>
      <w:lvlText w:val="-"/>
      <w:lvlJc w:val="left"/>
      <w:pPr>
        <w:ind w:left="1102" w:hanging="360"/>
      </w:pPr>
      <w:rPr>
        <w:rFonts w:ascii="仿宋" w:eastAsia="仿宋" w:hAnsi="仿宋" w:cs="宋体" w:hint="eastAsia"/>
      </w:rPr>
    </w:lvl>
    <w:lvl w:ilvl="1" w:tplc="04090003" w:tentative="1">
      <w:start w:val="1"/>
      <w:numFmt w:val="bullet"/>
      <w:lvlText w:val=""/>
      <w:lvlJc w:val="left"/>
      <w:pPr>
        <w:ind w:left="1582" w:hanging="420"/>
      </w:pPr>
      <w:rPr>
        <w:rFonts w:ascii="Wingdings" w:hAnsi="Wingdings" w:hint="default"/>
      </w:rPr>
    </w:lvl>
    <w:lvl w:ilvl="2" w:tplc="04090005" w:tentative="1">
      <w:start w:val="1"/>
      <w:numFmt w:val="bullet"/>
      <w:lvlText w:val=""/>
      <w:lvlJc w:val="left"/>
      <w:pPr>
        <w:ind w:left="2002" w:hanging="420"/>
      </w:pPr>
      <w:rPr>
        <w:rFonts w:ascii="Wingdings" w:hAnsi="Wingdings" w:hint="default"/>
      </w:rPr>
    </w:lvl>
    <w:lvl w:ilvl="3" w:tplc="04090001" w:tentative="1">
      <w:start w:val="1"/>
      <w:numFmt w:val="bullet"/>
      <w:lvlText w:val=""/>
      <w:lvlJc w:val="left"/>
      <w:pPr>
        <w:ind w:left="2422" w:hanging="420"/>
      </w:pPr>
      <w:rPr>
        <w:rFonts w:ascii="Wingdings" w:hAnsi="Wingdings" w:hint="default"/>
      </w:rPr>
    </w:lvl>
    <w:lvl w:ilvl="4" w:tplc="04090003" w:tentative="1">
      <w:start w:val="1"/>
      <w:numFmt w:val="bullet"/>
      <w:lvlText w:val=""/>
      <w:lvlJc w:val="left"/>
      <w:pPr>
        <w:ind w:left="2842" w:hanging="420"/>
      </w:pPr>
      <w:rPr>
        <w:rFonts w:ascii="Wingdings" w:hAnsi="Wingdings" w:hint="default"/>
      </w:rPr>
    </w:lvl>
    <w:lvl w:ilvl="5" w:tplc="04090005" w:tentative="1">
      <w:start w:val="1"/>
      <w:numFmt w:val="bullet"/>
      <w:lvlText w:val=""/>
      <w:lvlJc w:val="left"/>
      <w:pPr>
        <w:ind w:left="3262" w:hanging="420"/>
      </w:pPr>
      <w:rPr>
        <w:rFonts w:ascii="Wingdings" w:hAnsi="Wingdings" w:hint="default"/>
      </w:rPr>
    </w:lvl>
    <w:lvl w:ilvl="6" w:tplc="04090001" w:tentative="1">
      <w:start w:val="1"/>
      <w:numFmt w:val="bullet"/>
      <w:lvlText w:val=""/>
      <w:lvlJc w:val="left"/>
      <w:pPr>
        <w:ind w:left="3682" w:hanging="420"/>
      </w:pPr>
      <w:rPr>
        <w:rFonts w:ascii="Wingdings" w:hAnsi="Wingdings" w:hint="default"/>
      </w:rPr>
    </w:lvl>
    <w:lvl w:ilvl="7" w:tplc="04090003" w:tentative="1">
      <w:start w:val="1"/>
      <w:numFmt w:val="bullet"/>
      <w:lvlText w:val=""/>
      <w:lvlJc w:val="left"/>
      <w:pPr>
        <w:ind w:left="4102" w:hanging="420"/>
      </w:pPr>
      <w:rPr>
        <w:rFonts w:ascii="Wingdings" w:hAnsi="Wingdings" w:hint="default"/>
      </w:rPr>
    </w:lvl>
    <w:lvl w:ilvl="8" w:tplc="04090005" w:tentative="1">
      <w:start w:val="1"/>
      <w:numFmt w:val="bullet"/>
      <w:lvlText w:val=""/>
      <w:lvlJc w:val="left"/>
      <w:pPr>
        <w:ind w:left="4522" w:hanging="42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23EAB"/>
    <w:rsid w:val="0002654C"/>
    <w:rsid w:val="00037065"/>
    <w:rsid w:val="00041633"/>
    <w:rsid w:val="00090EBE"/>
    <w:rsid w:val="000B39A2"/>
    <w:rsid w:val="000C5EEA"/>
    <w:rsid w:val="000D7EBA"/>
    <w:rsid w:val="000F4CA6"/>
    <w:rsid w:val="001164CD"/>
    <w:rsid w:val="00136766"/>
    <w:rsid w:val="00155717"/>
    <w:rsid w:val="00161A2F"/>
    <w:rsid w:val="001837A3"/>
    <w:rsid w:val="001B700D"/>
    <w:rsid w:val="001D2298"/>
    <w:rsid w:val="001E2131"/>
    <w:rsid w:val="001F0CFA"/>
    <w:rsid w:val="001F3C3A"/>
    <w:rsid w:val="00245A34"/>
    <w:rsid w:val="00263334"/>
    <w:rsid w:val="0026524A"/>
    <w:rsid w:val="002658FE"/>
    <w:rsid w:val="00274125"/>
    <w:rsid w:val="00294A12"/>
    <w:rsid w:val="002965D2"/>
    <w:rsid w:val="002A0E10"/>
    <w:rsid w:val="002A2814"/>
    <w:rsid w:val="002B1A0F"/>
    <w:rsid w:val="002B2720"/>
    <w:rsid w:val="002E40B6"/>
    <w:rsid w:val="002E533C"/>
    <w:rsid w:val="002F0A05"/>
    <w:rsid w:val="0032041B"/>
    <w:rsid w:val="0034708C"/>
    <w:rsid w:val="003526F9"/>
    <w:rsid w:val="00366876"/>
    <w:rsid w:val="0037256D"/>
    <w:rsid w:val="003C0AEB"/>
    <w:rsid w:val="003C4AC5"/>
    <w:rsid w:val="003D1888"/>
    <w:rsid w:val="003D31CC"/>
    <w:rsid w:val="003D6E18"/>
    <w:rsid w:val="003E31E4"/>
    <w:rsid w:val="00431063"/>
    <w:rsid w:val="0047096E"/>
    <w:rsid w:val="004B7F36"/>
    <w:rsid w:val="004D04DF"/>
    <w:rsid w:val="004D0EF0"/>
    <w:rsid w:val="004D370D"/>
    <w:rsid w:val="004F104A"/>
    <w:rsid w:val="004F7688"/>
    <w:rsid w:val="005306AA"/>
    <w:rsid w:val="0057231A"/>
    <w:rsid w:val="0058792B"/>
    <w:rsid w:val="005E48C6"/>
    <w:rsid w:val="005F69F9"/>
    <w:rsid w:val="00606C70"/>
    <w:rsid w:val="006112A0"/>
    <w:rsid w:val="00621DAC"/>
    <w:rsid w:val="00621DDE"/>
    <w:rsid w:val="006274F2"/>
    <w:rsid w:val="006467D8"/>
    <w:rsid w:val="006531FE"/>
    <w:rsid w:val="00685AA4"/>
    <w:rsid w:val="00693C03"/>
    <w:rsid w:val="006A531B"/>
    <w:rsid w:val="006D49CC"/>
    <w:rsid w:val="006F7693"/>
    <w:rsid w:val="00710140"/>
    <w:rsid w:val="007113CD"/>
    <w:rsid w:val="0071294A"/>
    <w:rsid w:val="007357F0"/>
    <w:rsid w:val="00743835"/>
    <w:rsid w:val="00796C47"/>
    <w:rsid w:val="007A5AB0"/>
    <w:rsid w:val="007F2275"/>
    <w:rsid w:val="0080650A"/>
    <w:rsid w:val="00825DDD"/>
    <w:rsid w:val="00855232"/>
    <w:rsid w:val="008846C4"/>
    <w:rsid w:val="008A7ADD"/>
    <w:rsid w:val="008B6FD6"/>
    <w:rsid w:val="008D065D"/>
    <w:rsid w:val="008E0878"/>
    <w:rsid w:val="008E7F3F"/>
    <w:rsid w:val="0090777E"/>
    <w:rsid w:val="00915F0F"/>
    <w:rsid w:val="00921714"/>
    <w:rsid w:val="00923C0A"/>
    <w:rsid w:val="009268E4"/>
    <w:rsid w:val="00933B04"/>
    <w:rsid w:val="009532DF"/>
    <w:rsid w:val="00991E43"/>
    <w:rsid w:val="00997019"/>
    <w:rsid w:val="009A5029"/>
    <w:rsid w:val="009D38D5"/>
    <w:rsid w:val="009D672B"/>
    <w:rsid w:val="009F0706"/>
    <w:rsid w:val="00A06AED"/>
    <w:rsid w:val="00A10DCE"/>
    <w:rsid w:val="00A2586D"/>
    <w:rsid w:val="00A45865"/>
    <w:rsid w:val="00A46D6B"/>
    <w:rsid w:val="00A53F26"/>
    <w:rsid w:val="00A6791C"/>
    <w:rsid w:val="00A75C34"/>
    <w:rsid w:val="00AA0CC5"/>
    <w:rsid w:val="00AA4820"/>
    <w:rsid w:val="00AA623C"/>
    <w:rsid w:val="00AC7820"/>
    <w:rsid w:val="00B03FD9"/>
    <w:rsid w:val="00B16AFE"/>
    <w:rsid w:val="00B4211D"/>
    <w:rsid w:val="00B6393B"/>
    <w:rsid w:val="00B65DD5"/>
    <w:rsid w:val="00B804C1"/>
    <w:rsid w:val="00BD10B6"/>
    <w:rsid w:val="00BD6E36"/>
    <w:rsid w:val="00BE47F8"/>
    <w:rsid w:val="00C01EA1"/>
    <w:rsid w:val="00C066E0"/>
    <w:rsid w:val="00C07076"/>
    <w:rsid w:val="00C10B6C"/>
    <w:rsid w:val="00C151E2"/>
    <w:rsid w:val="00C153D1"/>
    <w:rsid w:val="00C23031"/>
    <w:rsid w:val="00C232E4"/>
    <w:rsid w:val="00C550BE"/>
    <w:rsid w:val="00C6418F"/>
    <w:rsid w:val="00C80BBD"/>
    <w:rsid w:val="00CA4A3B"/>
    <w:rsid w:val="00CB00DF"/>
    <w:rsid w:val="00CB06DF"/>
    <w:rsid w:val="00CB2C34"/>
    <w:rsid w:val="00CB3B4A"/>
    <w:rsid w:val="00CD141C"/>
    <w:rsid w:val="00CD289E"/>
    <w:rsid w:val="00CF470C"/>
    <w:rsid w:val="00CF7E29"/>
    <w:rsid w:val="00D109BD"/>
    <w:rsid w:val="00D17819"/>
    <w:rsid w:val="00D245D6"/>
    <w:rsid w:val="00D323AB"/>
    <w:rsid w:val="00D33CA0"/>
    <w:rsid w:val="00D57F6C"/>
    <w:rsid w:val="00D73C72"/>
    <w:rsid w:val="00D81E2C"/>
    <w:rsid w:val="00D94806"/>
    <w:rsid w:val="00DA173D"/>
    <w:rsid w:val="00DC6D9D"/>
    <w:rsid w:val="00DD7C1D"/>
    <w:rsid w:val="00DE0F4D"/>
    <w:rsid w:val="00DF2614"/>
    <w:rsid w:val="00E0592B"/>
    <w:rsid w:val="00E31738"/>
    <w:rsid w:val="00E317F6"/>
    <w:rsid w:val="00E47781"/>
    <w:rsid w:val="00E52C9D"/>
    <w:rsid w:val="00E6476D"/>
    <w:rsid w:val="00E86786"/>
    <w:rsid w:val="00EA31AD"/>
    <w:rsid w:val="00EA462A"/>
    <w:rsid w:val="00EC209E"/>
    <w:rsid w:val="00EC30F1"/>
    <w:rsid w:val="00EC4AC0"/>
    <w:rsid w:val="00ED2F80"/>
    <w:rsid w:val="00EE57DC"/>
    <w:rsid w:val="00EF6DC7"/>
    <w:rsid w:val="00F1624E"/>
    <w:rsid w:val="00F26AD2"/>
    <w:rsid w:val="00F32F8A"/>
    <w:rsid w:val="00F4117D"/>
    <w:rsid w:val="00F520B0"/>
    <w:rsid w:val="00F571E8"/>
    <w:rsid w:val="00F77837"/>
    <w:rsid w:val="00F77F8A"/>
    <w:rsid w:val="00F810AA"/>
    <w:rsid w:val="00F81474"/>
    <w:rsid w:val="00F869D6"/>
    <w:rsid w:val="00FA22FC"/>
    <w:rsid w:val="00FB1A4C"/>
    <w:rsid w:val="00FB43EC"/>
    <w:rsid w:val="00FB6B40"/>
    <w:rsid w:val="00FC1796"/>
    <w:rsid w:val="00FC5A8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4AF4859D"/>
  <w15:docId w15:val="{1DA2DEAC-8931-4DF2-A28C-200A0746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791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791C"/>
    <w:rPr>
      <w:rFonts w:ascii="Calibri" w:eastAsia="宋体" w:hAnsi="Calibri" w:cs="Times New Roman"/>
      <w:sz w:val="18"/>
      <w:szCs w:val="18"/>
    </w:rPr>
  </w:style>
  <w:style w:type="paragraph" w:styleId="a5">
    <w:name w:val="footer"/>
    <w:basedOn w:val="a"/>
    <w:link w:val="a6"/>
    <w:uiPriority w:val="99"/>
    <w:unhideWhenUsed/>
    <w:rsid w:val="00A6791C"/>
    <w:pPr>
      <w:tabs>
        <w:tab w:val="center" w:pos="4153"/>
        <w:tab w:val="right" w:pos="8306"/>
      </w:tabs>
      <w:snapToGrid w:val="0"/>
      <w:jc w:val="left"/>
    </w:pPr>
    <w:rPr>
      <w:sz w:val="18"/>
      <w:szCs w:val="18"/>
    </w:rPr>
  </w:style>
  <w:style w:type="character" w:customStyle="1" w:styleId="a6">
    <w:name w:val="页脚 字符"/>
    <w:basedOn w:val="a0"/>
    <w:link w:val="a5"/>
    <w:uiPriority w:val="99"/>
    <w:rsid w:val="00A6791C"/>
    <w:rPr>
      <w:rFonts w:ascii="Calibri" w:eastAsia="宋体" w:hAnsi="Calibri" w:cs="Times New Roman"/>
      <w:sz w:val="18"/>
      <w:szCs w:val="18"/>
    </w:rPr>
  </w:style>
  <w:style w:type="paragraph" w:customStyle="1" w:styleId="Body">
    <w:name w:val="Body"/>
    <w:basedOn w:val="a"/>
    <w:rsid w:val="005E48C6"/>
    <w:pPr>
      <w:widowControl/>
      <w:spacing w:after="140" w:line="290" w:lineRule="auto"/>
    </w:pPr>
    <w:rPr>
      <w:rFonts w:ascii="Arial" w:hAnsi="Arial"/>
      <w:kern w:val="20"/>
      <w:sz w:val="20"/>
      <w:szCs w:val="24"/>
      <w:lang w:val="en-GB" w:eastAsia="en-GB"/>
    </w:rPr>
  </w:style>
  <w:style w:type="paragraph" w:styleId="a7">
    <w:name w:val="Balloon Text"/>
    <w:basedOn w:val="a"/>
    <w:link w:val="a8"/>
    <w:uiPriority w:val="99"/>
    <w:semiHidden/>
    <w:unhideWhenUsed/>
    <w:rsid w:val="00B6393B"/>
    <w:rPr>
      <w:rFonts w:ascii="Microsoft YaHei UI" w:eastAsia="Microsoft YaHei UI"/>
      <w:sz w:val="18"/>
      <w:szCs w:val="18"/>
    </w:rPr>
  </w:style>
  <w:style w:type="character" w:customStyle="1" w:styleId="a8">
    <w:name w:val="批注框文本 字符"/>
    <w:basedOn w:val="a0"/>
    <w:link w:val="a7"/>
    <w:uiPriority w:val="99"/>
    <w:semiHidden/>
    <w:rsid w:val="00B6393B"/>
    <w:rPr>
      <w:rFonts w:ascii="Microsoft YaHei UI" w:eastAsia="Microsoft YaHei UI" w:hAnsi="Calibri" w:cs="Times New Roman"/>
      <w:sz w:val="18"/>
      <w:szCs w:val="18"/>
    </w:rPr>
  </w:style>
  <w:style w:type="character" w:styleId="a9">
    <w:name w:val="annotation reference"/>
    <w:basedOn w:val="a0"/>
    <w:uiPriority w:val="99"/>
    <w:semiHidden/>
    <w:unhideWhenUsed/>
    <w:rsid w:val="00AA4820"/>
    <w:rPr>
      <w:sz w:val="21"/>
      <w:szCs w:val="21"/>
    </w:rPr>
  </w:style>
  <w:style w:type="paragraph" w:styleId="aa">
    <w:name w:val="annotation text"/>
    <w:basedOn w:val="a"/>
    <w:link w:val="ab"/>
    <w:uiPriority w:val="99"/>
    <w:semiHidden/>
    <w:unhideWhenUsed/>
    <w:rsid w:val="00AA4820"/>
    <w:pPr>
      <w:jc w:val="left"/>
    </w:pPr>
  </w:style>
  <w:style w:type="character" w:customStyle="1" w:styleId="ab">
    <w:name w:val="批注文字 字符"/>
    <w:basedOn w:val="a0"/>
    <w:link w:val="aa"/>
    <w:uiPriority w:val="99"/>
    <w:semiHidden/>
    <w:rsid w:val="00AA4820"/>
    <w:rPr>
      <w:rFonts w:ascii="Calibri" w:eastAsia="宋体" w:hAnsi="Calibri" w:cs="Times New Roman"/>
    </w:rPr>
  </w:style>
  <w:style w:type="paragraph" w:styleId="ac">
    <w:name w:val="annotation subject"/>
    <w:basedOn w:val="aa"/>
    <w:next w:val="aa"/>
    <w:link w:val="ad"/>
    <w:uiPriority w:val="99"/>
    <w:semiHidden/>
    <w:unhideWhenUsed/>
    <w:rsid w:val="00AA4820"/>
    <w:rPr>
      <w:b/>
      <w:bCs/>
    </w:rPr>
  </w:style>
  <w:style w:type="character" w:customStyle="1" w:styleId="ad">
    <w:name w:val="批注主题 字符"/>
    <w:basedOn w:val="ab"/>
    <w:link w:val="ac"/>
    <w:uiPriority w:val="99"/>
    <w:semiHidden/>
    <w:rsid w:val="00AA4820"/>
    <w:rPr>
      <w:rFonts w:ascii="Calibri" w:eastAsia="宋体" w:hAnsi="Calibri" w:cs="Times New Roman"/>
      <w:b/>
      <w:bCs/>
    </w:rPr>
  </w:style>
  <w:style w:type="paragraph" w:styleId="ae">
    <w:name w:val="List Paragraph"/>
    <w:basedOn w:val="a"/>
    <w:link w:val="af"/>
    <w:uiPriority w:val="34"/>
    <w:qFormat/>
    <w:rsid w:val="003E31E4"/>
    <w:pPr>
      <w:widowControl/>
      <w:ind w:firstLineChars="200" w:firstLine="420"/>
      <w:jc w:val="left"/>
    </w:pPr>
    <w:rPr>
      <w:rFonts w:ascii="宋体" w:hAnsi="宋体" w:cs="宋体"/>
      <w:kern w:val="0"/>
      <w:sz w:val="24"/>
      <w:szCs w:val="24"/>
    </w:rPr>
  </w:style>
  <w:style w:type="character" w:customStyle="1" w:styleId="af">
    <w:name w:val="列表段落 字符"/>
    <w:link w:val="ae"/>
    <w:uiPriority w:val="34"/>
    <w:locked/>
    <w:rsid w:val="003E31E4"/>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ADB8CA724859E44E9A4C099E36DA7463" ma:contentTypeVersion="0" ma:contentTypeDescription="新建文档。" ma:contentTypeScope="" ma:versionID="2bda5aeb1e2aed986f9d77282b2c43a3">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84485A-52DE-497B-8A49-06117B060C1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0912BC1-6AC3-41E5-ABE0-3D1AE5344D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EFCCE4B-06A5-457E-AFF9-AA0A479016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182</Words>
  <Characters>1044</Characters>
  <Application>Microsoft Office Word</Application>
  <DocSecurity>0</DocSecurity>
  <Lines>8</Lines>
  <Paragraphs>2</Paragraphs>
  <ScaleCrop>false</ScaleCrop>
  <Company/>
  <LinksUpToDate>false</LinksUpToDate>
  <CharactersWithSpaces>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ZL</dc:creator>
  <cp:lastModifiedBy>ZL</cp:lastModifiedBy>
  <cp:revision>5</cp:revision>
  <dcterms:created xsi:type="dcterms:W3CDTF">2021-09-16T03:03:00Z</dcterms:created>
  <dcterms:modified xsi:type="dcterms:W3CDTF">2021-09-30T08:35:00Z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0x010100ADB8CA724859E44E9A4C099E36DA7463</vt:lpwstr>
  </property>
</Properties>
</file>