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napToGrid w:val="0"/>
        <w:spacing w:after="120"/>
        <w:jc w:val="center"/>
        <w:rPr>
          <w:rFonts w:ascii="Times New Roman" w:eastAsia="华文楷体" w:hAnsi="Times New Roman"/>
          <w:b/>
          <w:bCs/>
          <w:sz w:val="24"/>
          <w:szCs w:val="24"/>
        </w:rPr>
      </w:pPr>
      <w:r>
        <w:rPr>
          <w:rFonts w:ascii="Times New Roman" w:eastAsia="华文楷体" w:hAnsi="Times New Roman"/>
          <w:b/>
          <w:bCs/>
          <w:sz w:val="24"/>
          <w:szCs w:val="24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2236"/>
        <w:gridCol w:w="4713"/>
      </w:tblGrid>
      <w:tr>
        <w:tc>
          <w:tcPr>
            <w:tcW w:w="1809" w:type="dxa"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加拿大养老金计划投资委员会收购</w:t>
            </w:r>
            <w:proofErr w:type="spellStart"/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CeramTec</w:t>
            </w:r>
            <w:proofErr w:type="spellEnd"/>
            <w:r>
              <w:rPr>
                <w:rFonts w:ascii="Times New Roman" w:eastAsia="华文楷体" w:hAnsi="Times New Roman" w:hint="eastAsia"/>
                <w:sz w:val="24"/>
                <w:szCs w:val="24"/>
              </w:rPr>
              <w:t xml:space="preserve"> Topco</w:t>
            </w: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有限公司股权案</w:t>
            </w:r>
          </w:p>
        </w:tc>
      </w:tr>
      <w:tr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交易概况</w:t>
            </w:r>
          </w:p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（限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200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本交易涉及</w:t>
            </w: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加拿大养老金计划投资委员会（“</w:t>
            </w:r>
            <w:r>
              <w:rPr>
                <w:rFonts w:ascii="Times New Roman" w:eastAsia="华文楷体" w:hAnsi="Times New Roman" w:hint="eastAsia"/>
                <w:b/>
                <w:bCs/>
                <w:sz w:val="24"/>
                <w:szCs w:val="24"/>
              </w:rPr>
              <w:t>CPP Investments</w:t>
            </w: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”）收购</w:t>
            </w:r>
            <w:proofErr w:type="spellStart"/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CeramTec</w:t>
            </w:r>
            <w:proofErr w:type="spellEnd"/>
            <w:r>
              <w:rPr>
                <w:rFonts w:ascii="Times New Roman" w:eastAsia="华文楷体" w:hAnsi="Times New Roman" w:hint="eastAsia"/>
                <w:sz w:val="24"/>
                <w:szCs w:val="24"/>
              </w:rPr>
              <w:t xml:space="preserve"> Topco</w:t>
            </w: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有限公司（“</w:t>
            </w:r>
            <w:proofErr w:type="spellStart"/>
            <w:r>
              <w:rPr>
                <w:rFonts w:ascii="Times New Roman" w:eastAsia="华文楷体" w:hAnsi="Times New Roman"/>
                <w:b/>
                <w:bCs/>
                <w:sz w:val="24"/>
                <w:szCs w:val="24"/>
              </w:rPr>
              <w:t>CeramTec</w:t>
            </w:r>
            <w:proofErr w:type="spellEnd"/>
            <w:r>
              <w:rPr>
                <w:rFonts w:ascii="华文楷体" w:eastAsia="华文楷体" w:hAnsi="华文楷体"/>
                <w:sz w:val="24"/>
                <w:szCs w:val="24"/>
              </w:rPr>
              <w:t>”</w:t>
            </w: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）的共同控制权。本交易前，</w:t>
            </w: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BC Partners</w:t>
            </w: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有限合伙（“</w:t>
            </w:r>
            <w:r>
              <w:rPr>
                <w:rFonts w:ascii="Times New Roman" w:eastAsia="华文楷体" w:hAnsi="Times New Roman" w:hint="eastAsia"/>
                <w:b/>
                <w:bCs/>
                <w:sz w:val="24"/>
                <w:szCs w:val="24"/>
              </w:rPr>
              <w:t>BC</w:t>
            </w:r>
            <w:r>
              <w:rPr>
                <w:rFonts w:ascii="Times New Roman" w:eastAsia="华文楷体" w:hAnsi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华文楷体" w:hAnsi="Times New Roman" w:hint="eastAsia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eastAsia="华文楷体" w:hAnsi="Times New Roman"/>
                <w:b/>
                <w:bCs/>
                <w:sz w:val="24"/>
                <w:szCs w:val="24"/>
              </w:rPr>
              <w:t>a</w:t>
            </w:r>
            <w:r>
              <w:rPr>
                <w:rFonts w:ascii="Times New Roman" w:eastAsia="华文楷体" w:hAnsi="Times New Roman" w:hint="eastAsia"/>
                <w:b/>
                <w:bCs/>
                <w:sz w:val="24"/>
                <w:szCs w:val="24"/>
              </w:rPr>
              <w:t>rtners</w:t>
            </w: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”）的关联实体间接单独控制</w:t>
            </w:r>
            <w:proofErr w:type="spellStart"/>
            <w:r>
              <w:rPr>
                <w:rFonts w:ascii="Times New Roman" w:eastAsia="华文楷体" w:hAnsi="Times New Roman"/>
                <w:sz w:val="24"/>
                <w:szCs w:val="24"/>
              </w:rPr>
              <w:t>CeramTec</w:t>
            </w:r>
            <w:proofErr w:type="spellEnd"/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。本交易完成后，</w:t>
            </w:r>
            <w:proofErr w:type="spellStart"/>
            <w:r>
              <w:rPr>
                <w:rFonts w:ascii="Times New Roman" w:eastAsia="华文楷体" w:hAnsi="Times New Roman"/>
                <w:sz w:val="24"/>
                <w:szCs w:val="24"/>
              </w:rPr>
              <w:t>CeramTec</w:t>
            </w:r>
            <w:proofErr w:type="spellEnd"/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将由</w:t>
            </w: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CPP Investments</w:t>
            </w: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和</w:t>
            </w: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BC Partners</w:t>
            </w: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关联实体共同控制。</w:t>
            </w:r>
          </w:p>
        </w:tc>
      </w:tr>
      <w:tr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参与集中的</w:t>
            </w:r>
          </w:p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2236" w:type="dxa"/>
          </w:tcPr>
          <w:p>
            <w:pPr>
              <w:snapToGrid w:val="0"/>
              <w:spacing w:after="120"/>
              <w:jc w:val="left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1.</w:t>
            </w:r>
            <w:r>
              <w:rPr>
                <w:rFonts w:ascii="Times New Roman" w:eastAsia="仿宋_GB2312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CPP Investments</w:t>
            </w:r>
          </w:p>
        </w:tc>
        <w:tc>
          <w:tcPr>
            <w:tcW w:w="4713" w:type="dxa"/>
            <w:vAlign w:val="center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CPP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Investments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是一家专业投资管理机构，代表约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2000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万加拿大出资人和受益人以加拿大养老金计划的资金进行投资。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CPP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Investments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总部位于加拿大安大略省多伦多市，并在香港、伦敦、卢森堡、孟买、纽约、旧金山、圣保罗和悉尼设有办事处。</w:t>
            </w:r>
          </w:p>
        </w:tc>
      </w:tr>
      <w:tr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</w:p>
        </w:tc>
        <w:tc>
          <w:tcPr>
            <w:tcW w:w="2236" w:type="dxa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 xml:space="preserve">2. </w:t>
            </w:r>
            <w:r>
              <w:rPr>
                <w:rFonts w:ascii="Times New Roman" w:eastAsia="华文楷体" w:hAnsi="Times New Roman"/>
                <w:sz w:val="24"/>
                <w:szCs w:val="24"/>
              </w:rPr>
              <w:t>BC Partners</w:t>
            </w:r>
          </w:p>
        </w:tc>
        <w:tc>
          <w:tcPr>
            <w:tcW w:w="4713" w:type="dxa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sz w:val="24"/>
                <w:szCs w:val="24"/>
              </w:rPr>
            </w:pP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BC Partners</w:t>
            </w: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是一家国际私募股权公司，为在不同行业进行投资的众多私</w:t>
            </w:r>
            <w:proofErr w:type="gramStart"/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募股权基金</w:t>
            </w:r>
            <w:proofErr w:type="gramEnd"/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提供投资咨询管理服务。</w:t>
            </w:r>
          </w:p>
        </w:tc>
      </w:tr>
      <w:tr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 xml:space="preserve"> 1.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在同一相关市场，所有参与集中的经营者所占市场份额之和小于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15%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。</w:t>
            </w:r>
          </w:p>
        </w:tc>
      </w:tr>
      <w:tr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 xml:space="preserve"> 2.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存在上下游关系的参与集中的经营者，在上下游市场所占的市场份额均小于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25%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。</w:t>
            </w:r>
          </w:p>
        </w:tc>
      </w:tr>
      <w:tr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sym w:font="Wingdings" w:char="F0FE"/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 xml:space="preserve"> 3.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25%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。</w:t>
            </w:r>
          </w:p>
        </w:tc>
      </w:tr>
      <w:tr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 xml:space="preserve"> 4.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 xml:space="preserve"> 5.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 xml:space="preserve"> 6.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>
        <w:tc>
          <w:tcPr>
            <w:tcW w:w="1809" w:type="dxa"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sz w:val="24"/>
                <w:szCs w:val="24"/>
              </w:rPr>
            </w:pP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相关产品市场：高级陶瓷</w:t>
            </w:r>
          </w:p>
          <w:p>
            <w:pPr>
              <w:snapToGrid w:val="0"/>
              <w:spacing w:after="120"/>
              <w:rPr>
                <w:rFonts w:ascii="Times New Roman" w:eastAsia="华文楷体" w:hAnsi="Times New Roman"/>
                <w:sz w:val="24"/>
                <w:szCs w:val="24"/>
              </w:rPr>
            </w:pP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相关地域市场：中国境内</w:t>
            </w:r>
          </w:p>
          <w:p>
            <w:pPr>
              <w:snapToGrid w:val="0"/>
              <w:spacing w:after="120"/>
              <w:rPr>
                <w:rFonts w:ascii="Times New Roman" w:eastAsia="华文楷体" w:hAnsi="Times New Roman"/>
                <w:sz w:val="24"/>
                <w:szCs w:val="24"/>
              </w:rPr>
            </w:pP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市场份额：</w:t>
            </w:r>
            <w:proofErr w:type="spellStart"/>
            <w:r>
              <w:rPr>
                <w:rFonts w:ascii="Times New Roman" w:eastAsia="华文楷体" w:hAnsi="Times New Roman"/>
                <w:sz w:val="24"/>
                <w:szCs w:val="24"/>
              </w:rPr>
              <w:t>CeramTec</w:t>
            </w:r>
            <w:proofErr w:type="spellEnd"/>
            <w:r>
              <w:rPr>
                <w:rFonts w:ascii="Times New Roman" w:eastAsia="华文楷体" w:hAnsi="Times New Roman" w:hint="eastAsia"/>
                <w:sz w:val="24"/>
                <w:szCs w:val="24"/>
              </w:rPr>
              <w:t xml:space="preserve"> [</w:t>
            </w:r>
            <w:r>
              <w:rPr>
                <w:rFonts w:ascii="Times New Roman" w:eastAsia="华文楷体" w:hAnsi="Times New Roman"/>
                <w:sz w:val="24"/>
                <w:szCs w:val="24"/>
              </w:rPr>
              <w:t>5-10]%</w:t>
            </w:r>
          </w:p>
        </w:tc>
      </w:tr>
    </w:tbl>
    <w:p>
      <w:pPr>
        <w:snapToGrid w:val="0"/>
        <w:spacing w:after="120"/>
        <w:rPr>
          <w:rFonts w:ascii="Times New Roman" w:hAnsi="Times New Roman"/>
        </w:rPr>
      </w:pPr>
    </w:p>
    <w:sectPr>
      <w:pgSz w:w="11906" w:h="16838"/>
      <w:pgMar w:top="1440" w:right="1800" w:bottom="1276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OwMDEwMjMwtLQwNrFU0lEKTi0uzszPAykwqgUA8qC99CwAAAA="/>
  </w:docVar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A70EC15-DA8B-41DD-A93C-25EB305AA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华文楷体" w:hAnsi="Times New Roman" w:cs="Calibri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Segoe UI" w:eastAsia="宋体" w:hAnsi="Segoe UI" w:cs="Segoe UI"/>
      <w:kern w:val="2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320"/>
        <w:tab w:val="right" w:pos="8640"/>
      </w:tabs>
    </w:pPr>
  </w:style>
  <w:style w:type="character" w:customStyle="1" w:styleId="a6">
    <w:name w:val="页眉 字符"/>
    <w:basedOn w:val="a0"/>
    <w:link w:val="a5"/>
    <w:uiPriority w:val="99"/>
    <w:rPr>
      <w:rFonts w:ascii="Calibri" w:eastAsia="宋体" w:hAnsi="Calibri" w:cs="Times New Roman"/>
      <w:kern w:val="2"/>
      <w:sz w:val="21"/>
      <w:szCs w:val="22"/>
    </w:rPr>
  </w:style>
  <w:style w:type="paragraph" w:styleId="a7">
    <w:name w:val="footer"/>
    <w:basedOn w:val="a"/>
    <w:link w:val="a8"/>
    <w:uiPriority w:val="99"/>
    <w:unhideWhenUsed/>
    <w:pPr>
      <w:tabs>
        <w:tab w:val="center" w:pos="4320"/>
        <w:tab w:val="right" w:pos="8640"/>
      </w:tabs>
    </w:pPr>
  </w:style>
  <w:style w:type="character" w:customStyle="1" w:styleId="a8">
    <w:name w:val="页脚 字符"/>
    <w:basedOn w:val="a0"/>
    <w:link w:val="a7"/>
    <w:uiPriority w:val="99"/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FreshfieldsBruckhausDeringer</Company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Freshfields Bruckhaus Deringer</dc:creator>
  <cp:keywords/>
  <dc:description/>
  <cp:lastModifiedBy>LF</cp:lastModifiedBy>
  <cp:revision>4</cp:revision>
  <dcterms:created xsi:type="dcterms:W3CDTF">2021-09-14T05:52:00Z</dcterms:created>
  <dcterms:modified xsi:type="dcterms:W3CDTF">2021-09-18T01:35:00Z</dcterms:modified>
</cp:coreProperties>
</file>