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napToGrid w:val="0"/>
        <w:spacing w:after="120"/>
        <w:jc w:val="center"/>
        <w:rPr>
          <w:rFonts w:ascii="Times New Roman" w:eastAsia="华文楷体" w:hAnsi="Times New Roman"/>
          <w:b/>
          <w:bCs/>
          <w:sz w:val="24"/>
          <w:szCs w:val="24"/>
        </w:rPr>
      </w:pPr>
      <w:r>
        <w:rPr>
          <w:rFonts w:ascii="Times New Roman" w:eastAsia="华文楷体" w:hAnsi="Times New Roman"/>
          <w:b/>
          <w:bCs/>
          <w:sz w:val="24"/>
          <w:szCs w:val="24"/>
        </w:rPr>
        <w:t>经营者集中简易案件公示表</w:t>
      </w:r>
    </w:p>
    <w:p>
      <w:pPr>
        <w:snapToGrid w:val="0"/>
        <w:spacing w:after="120"/>
        <w:rPr>
          <w:rFonts w:ascii="Times New Roman" w:eastAsia="仿宋_GB2312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2014"/>
        <w:gridCol w:w="4935"/>
      </w:tblGrid>
      <w:t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Combined Food Delivery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有限公司与璞米第七基金普通合伙有限公司收购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Delivery Hero Korea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有限公司股权案</w:t>
            </w:r>
          </w:p>
        </w:tc>
      </w:tr>
      <w:tr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交易概况</w:t>
            </w:r>
          </w:p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（限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200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本交易涉及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Combined Food Delivery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有限公司（“</w:t>
            </w:r>
            <w:r>
              <w:rPr>
                <w:rFonts w:ascii="Times New Roman" w:eastAsia="华文楷体" w:hAnsi="Times New Roman" w:hint="eastAsia"/>
                <w:b/>
                <w:bCs/>
                <w:kern w:val="0"/>
                <w:sz w:val="24"/>
                <w:szCs w:val="24"/>
              </w:rPr>
              <w:t>Combined Food Delivery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”）、</w:t>
            </w:r>
            <w:proofErr w:type="gramStart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璞米第七</w:t>
            </w:r>
            <w:proofErr w:type="gramEnd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基金普通合伙有限公司（“</w:t>
            </w:r>
            <w:r>
              <w:rPr>
                <w:rFonts w:ascii="Times New Roman" w:eastAsia="华文楷体" w:hAnsi="Times New Roman" w:hint="eastAsia"/>
                <w:b/>
                <w:bCs/>
                <w:kern w:val="0"/>
                <w:sz w:val="24"/>
                <w:szCs w:val="24"/>
              </w:rPr>
              <w:t>璞米第七基金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”）和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GS Retail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有限公司收购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Delivery Hero Korea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有限公司（“</w:t>
            </w:r>
            <w:r>
              <w:rPr>
                <w:rFonts w:ascii="Times New Roman" w:eastAsia="华文楷体" w:hAnsi="Times New Roman" w:hint="eastAsia"/>
                <w:b/>
                <w:bCs/>
                <w:sz w:val="24"/>
                <w:szCs w:val="24"/>
              </w:rPr>
              <w:t>DHK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”）股权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事宜。本交易完成后，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Combined Food Delivery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和</w:t>
            </w:r>
            <w:proofErr w:type="gramStart"/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璞米</w:t>
            </w:r>
            <w:proofErr w:type="gramEnd"/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第七基金将共同控制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DHK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。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 xml:space="preserve">   </w:t>
            </w:r>
          </w:p>
        </w:tc>
      </w:tr>
      <w:tr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参与集中的</w:t>
            </w:r>
          </w:p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014" w:type="dxa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1.</w:t>
            </w:r>
            <w:r>
              <w:rPr>
                <w:rFonts w:ascii="Times New Roman" w:eastAsia="仿宋_GB2312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Combined Food Delivery</w:t>
            </w:r>
          </w:p>
        </w:tc>
        <w:tc>
          <w:tcPr>
            <w:tcW w:w="4935" w:type="dxa"/>
            <w:vAlign w:val="center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Combined Food Delivery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是一家投资控股公司，其将收购、持有和管理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DHK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的业务。</w:t>
            </w:r>
          </w:p>
        </w:tc>
      </w:tr>
      <w:tr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2014" w:type="dxa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 xml:space="preserve">2. 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璞米第七基金</w:t>
            </w:r>
          </w:p>
        </w:tc>
        <w:tc>
          <w:tcPr>
            <w:tcW w:w="4935" w:type="dxa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璞米第七</w:t>
            </w:r>
            <w:proofErr w:type="gramEnd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基金最终</w:t>
            </w:r>
            <w:proofErr w:type="gramStart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由璞米控股</w:t>
            </w:r>
            <w:proofErr w:type="gramEnd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有限公司（“</w:t>
            </w:r>
            <w:r>
              <w:rPr>
                <w:rFonts w:ascii="Times New Roman" w:eastAsia="华文楷体" w:hAnsi="Times New Roman" w:hint="eastAsia"/>
                <w:b/>
                <w:bCs/>
                <w:sz w:val="24"/>
                <w:szCs w:val="24"/>
              </w:rPr>
              <w:t>璞米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”）控制。</w:t>
            </w:r>
            <w:proofErr w:type="gramStart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璞米是</w:t>
            </w:r>
            <w:proofErr w:type="gramEnd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一家私</w:t>
            </w:r>
            <w:proofErr w:type="gramStart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募</w:t>
            </w:r>
            <w:proofErr w:type="gramEnd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股权公司，向多家投资基金提供投资管理服务。</w:t>
            </w:r>
            <w:proofErr w:type="gramStart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璞米最终</w:t>
            </w:r>
            <w:proofErr w:type="gramEnd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控制多家投资组合公司，该等投资组合公司在众多行业开展业务活动。</w:t>
            </w:r>
          </w:p>
        </w:tc>
      </w:tr>
      <w:tr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2014" w:type="dxa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3.</w:t>
            </w:r>
            <w:r>
              <w:rPr>
                <w:rFonts w:ascii="Times New Roman" w:eastAsia="仿宋_GB2312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DHK</w:t>
            </w:r>
          </w:p>
        </w:tc>
        <w:tc>
          <w:tcPr>
            <w:tcW w:w="4935" w:type="dxa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DHK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主要从事餐饮外卖应用程序业务和自营配送服务。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DHK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仅在韩国开展业务活动。</w:t>
            </w:r>
          </w:p>
        </w:tc>
      </w:tr>
      <w:tr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1.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15%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。</w:t>
            </w:r>
          </w:p>
        </w:tc>
      </w:tr>
      <w:tr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2.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25%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。</w:t>
            </w:r>
          </w:p>
        </w:tc>
      </w:tr>
      <w:tr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3.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25%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。</w:t>
            </w:r>
          </w:p>
        </w:tc>
      </w:tr>
      <w:tr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4.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5.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6.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申报方申请简易案件的理由是基于第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项，无须在备注中说明相关市场和市场份额。</w:t>
            </w:r>
          </w:p>
        </w:tc>
      </w:tr>
    </w:tbl>
    <w:p>
      <w:pPr>
        <w:snapToGrid w:val="0"/>
        <w:spacing w:after="120"/>
        <w:rPr>
          <w:rFonts w:ascii="Times New Roman" w:hAnsi="Times New Roman"/>
        </w:rPr>
      </w:pPr>
    </w:p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UwNrewMDOzNDQwtLBU0lEKTi0uzszPAykwrAUANnh9SiwAAAA="/>
  </w:docVar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A70EC15-DA8B-41DD-A93C-25EB305AA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华文楷体" w:hAnsi="Times New Roman" w:cs="Calibri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Segoe UI" w:eastAsia="宋体" w:hAnsi="Segoe UI" w:cs="Segoe UI"/>
      <w:kern w:val="2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  <w:rPr>
      <w:rFonts w:ascii="Calibri" w:eastAsia="宋体" w:hAnsi="Calibri" w:cs="Times New Roman"/>
      <w:kern w:val="2"/>
      <w:sz w:val="21"/>
      <w:szCs w:val="22"/>
    </w:rPr>
  </w:style>
  <w:style w:type="paragraph" w:styleId="a7">
    <w:name w:val="footer"/>
    <w:basedOn w:val="a"/>
    <w:link w:val="a8"/>
    <w:uiPriority w:val="99"/>
    <w:unhideWhenUsed/>
    <w:pPr>
      <w:tabs>
        <w:tab w:val="center" w:pos="4320"/>
        <w:tab w:val="right" w:pos="8640"/>
      </w:tabs>
    </w:pPr>
  </w:style>
  <w:style w:type="character" w:customStyle="1" w:styleId="a8">
    <w:name w:val="页脚 字符"/>
    <w:basedOn w:val="a0"/>
    <w:link w:val="a7"/>
    <w:uiPriority w:val="99"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221</Words>
  <Characters>644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FreshfieldsBruckhausDeringer</Company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LF</cp:lastModifiedBy>
  <cp:revision>9</cp:revision>
  <dcterms:created xsi:type="dcterms:W3CDTF">2021-06-23T07:58:00Z</dcterms:created>
  <dcterms:modified xsi:type="dcterms:W3CDTF">2021-09-02T06:32:00Z</dcterms:modified>
</cp:coreProperties>
</file>