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经营者集中简易案件公示表</w:t>
      </w:r>
    </w:p>
    <w:p>
      <w:pPr>
        <w:spacing w:after="240"/>
        <w:rPr>
          <w:szCs w:val="21"/>
        </w:rPr>
      </w:pPr>
    </w:p>
    <w:tbl>
      <w:tblPr>
        <w:tblStyle w:val="1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eastAsia="仿宋_GB2312"/>
                <w:sz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tabs>
                <w:tab w:val="left" w:pos="1215"/>
              </w:tabs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京东辉煌发展第三十三（香港）有限公司收购天津绿地众联供应链管理有限公司股权案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eastAsia="仿宋_GB2312"/>
                <w:sz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2</w:t>
            </w:r>
            <w:r>
              <w:rPr>
                <w:rFonts w:eastAsia="仿宋_GB2312"/>
                <w:sz w:val="28"/>
              </w:rPr>
              <w:t>021</w:t>
            </w:r>
            <w:r>
              <w:rPr>
                <w:rFonts w:hint="eastAsia" w:eastAsia="仿宋_GB2312"/>
                <w:sz w:val="28"/>
              </w:rPr>
              <w:t>年8月2</w:t>
            </w:r>
            <w:r>
              <w:rPr>
                <w:rFonts w:eastAsia="仿宋_GB2312"/>
                <w:sz w:val="28"/>
              </w:rPr>
              <w:t>6</w:t>
            </w:r>
            <w:r>
              <w:rPr>
                <w:rFonts w:hint="eastAsia" w:eastAsia="仿宋_GB2312"/>
                <w:sz w:val="28"/>
              </w:rPr>
              <w:t>日，京东辉煌发展第三十三（香港）有限公司（JD Bright Development XXXIII (HK) Limited）（“</w:t>
            </w:r>
            <w:r>
              <w:rPr>
                <w:rFonts w:hint="eastAsia" w:eastAsia="仿宋_GB2312"/>
                <w:b/>
                <w:sz w:val="28"/>
              </w:rPr>
              <w:t>京东辉煌</w:t>
            </w:r>
            <w:r>
              <w:rPr>
                <w:rFonts w:hint="eastAsia" w:eastAsia="仿宋_GB2312"/>
                <w:sz w:val="28"/>
              </w:rPr>
              <w:t>”）、上海绿地商业（集团）有限公司（“</w:t>
            </w:r>
            <w:r>
              <w:rPr>
                <w:rFonts w:hint="eastAsia" w:eastAsia="仿宋_GB2312"/>
                <w:b/>
                <w:sz w:val="28"/>
              </w:rPr>
              <w:t>上海绿地</w:t>
            </w:r>
            <w:r>
              <w:rPr>
                <w:rFonts w:hint="eastAsia" w:eastAsia="仿宋_GB2312"/>
                <w:sz w:val="28"/>
              </w:rPr>
              <w:t>”）和天津绿地众联供应链管理有限公司（“</w:t>
            </w:r>
            <w:r>
              <w:rPr>
                <w:rFonts w:hint="eastAsia" w:eastAsia="仿宋_GB2312"/>
                <w:b/>
                <w:sz w:val="28"/>
              </w:rPr>
              <w:t>天津绿地</w:t>
            </w:r>
            <w:r>
              <w:rPr>
                <w:rFonts w:hint="eastAsia" w:eastAsia="仿宋_GB2312"/>
                <w:sz w:val="28"/>
              </w:rPr>
              <w:t>”）签署了股权转让协议。根据该股权转让协议，上海绿地拟向京东辉煌转让天津绿地</w:t>
            </w:r>
            <w:r>
              <w:rPr>
                <w:rFonts w:eastAsia="仿宋_GB2312"/>
                <w:sz w:val="28"/>
              </w:rPr>
              <w:t>60</w:t>
            </w:r>
            <w:r>
              <w:rPr>
                <w:rFonts w:hint="eastAsia" w:eastAsia="仿宋_GB2312"/>
                <w:sz w:val="28"/>
              </w:rPr>
              <w:t>%的股权及其附带的所有权利和利益（“</w:t>
            </w:r>
            <w:r>
              <w:rPr>
                <w:rFonts w:hint="eastAsia" w:eastAsia="仿宋_GB2312"/>
                <w:b/>
                <w:sz w:val="28"/>
              </w:rPr>
              <w:t>拟议交易</w:t>
            </w:r>
            <w:r>
              <w:rPr>
                <w:rFonts w:hint="eastAsia" w:eastAsia="仿宋_GB2312"/>
                <w:sz w:val="28"/>
              </w:rPr>
              <w:t>”）。拟议交易完成后，京东辉煌和上海绿地将分别持有天津绿地60%和40%的股权，将对天津绿地享有共同控制权。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eastAsia="仿宋_GB2312"/>
                <w:sz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eastAsia="仿宋_GB2312"/>
                <w:sz w:val="28"/>
              </w:rPr>
              <w:t>1</w:t>
            </w:r>
            <w:r>
              <w:rPr>
                <w:rFonts w:hint="eastAsia" w:eastAsia="仿宋_GB2312"/>
                <w:sz w:val="28"/>
              </w:rPr>
              <w:t>、京东辉煌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京东辉煌设立于2</w:t>
            </w:r>
            <w:r>
              <w:rPr>
                <w:rFonts w:eastAsia="仿宋_GB2312"/>
                <w:sz w:val="28"/>
              </w:rPr>
              <w:t>018</w:t>
            </w:r>
            <w:r>
              <w:rPr>
                <w:rFonts w:hint="eastAsia" w:eastAsia="仿宋_GB2312"/>
                <w:sz w:val="28"/>
              </w:rPr>
              <w:t>年9月7日，公司隶属于京东集团。京东集团业务涉及零售、物流、仓储物流基础设施开发运营等领域。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eastAsia="仿宋_GB2312"/>
                <w:sz w:val="28"/>
              </w:rPr>
              <w:t>2、</w:t>
            </w:r>
            <w:r>
              <w:rPr>
                <w:rFonts w:hint="eastAsia" w:eastAsia="仿宋_GB2312"/>
                <w:sz w:val="28"/>
              </w:rPr>
              <w:t>上海绿地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上海绿地设立于1</w:t>
            </w:r>
            <w:r>
              <w:rPr>
                <w:rFonts w:eastAsia="仿宋_GB2312"/>
                <w:sz w:val="28"/>
              </w:rPr>
              <w:t>999</w:t>
            </w:r>
            <w:r>
              <w:rPr>
                <w:rFonts w:hint="eastAsia" w:eastAsia="仿宋_GB2312"/>
                <w:sz w:val="28"/>
              </w:rPr>
              <w:t>年</w:t>
            </w:r>
            <w:r>
              <w:rPr>
                <w:rFonts w:eastAsia="仿宋_GB2312"/>
                <w:sz w:val="28"/>
              </w:rPr>
              <w:t>11</w:t>
            </w:r>
            <w:r>
              <w:rPr>
                <w:rFonts w:hint="eastAsia" w:eastAsia="仿宋_GB2312"/>
                <w:sz w:val="28"/>
              </w:rPr>
              <w:t>月</w:t>
            </w:r>
            <w:r>
              <w:rPr>
                <w:rFonts w:eastAsia="仿宋_GB2312"/>
                <w:sz w:val="28"/>
              </w:rPr>
              <w:t>18</w:t>
            </w:r>
            <w:r>
              <w:rPr>
                <w:rFonts w:hint="eastAsia" w:eastAsia="仿宋_GB2312"/>
                <w:sz w:val="28"/>
              </w:rPr>
              <w:t>日，公司隶属于绿地集团。绿地集团涉足房地产、金融、基建等多个行业发展。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eastAsia="仿宋_GB2312"/>
                <w:sz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eastAsia="仿宋_GB2312"/>
                <w:sz w:val="28"/>
              </w:rPr>
              <w:sym w:font="Wingdings" w:char="F0FE"/>
            </w:r>
            <w:r>
              <w:rPr>
                <w:rFonts w:eastAsia="仿宋_GB2312"/>
                <w:sz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eastAsia="仿宋_GB2312"/>
                <w:sz w:val="28"/>
              </w:rPr>
              <w:sym w:font="Wingdings" w:char="F0FE"/>
            </w:r>
            <w:r>
              <w:rPr>
                <w:rFonts w:eastAsia="仿宋_GB2312"/>
                <w:sz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□</w:t>
            </w:r>
            <w:r>
              <w:rPr>
                <w:rFonts w:eastAsia="仿宋_GB2312"/>
                <w:sz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□</w:t>
            </w:r>
            <w:r>
              <w:rPr>
                <w:rFonts w:eastAsia="仿宋_GB2312"/>
                <w:sz w:val="28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□</w:t>
            </w:r>
            <w:r>
              <w:rPr>
                <w:rFonts w:eastAsia="仿宋_GB2312"/>
                <w:sz w:val="28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□</w:t>
            </w:r>
            <w:r>
              <w:rPr>
                <w:rFonts w:eastAsia="仿宋_GB2312"/>
                <w:sz w:val="28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eastAsia="仿宋_GB2312"/>
                <w:sz w:val="28"/>
              </w:rPr>
            </w:pPr>
            <w:r>
              <w:rPr>
                <w:rFonts w:eastAsia="仿宋_GB2312"/>
                <w:sz w:val="28"/>
              </w:rPr>
              <w:t>备注</w:t>
            </w:r>
          </w:p>
        </w:tc>
        <w:tc>
          <w:tcPr>
            <w:tcW w:w="6949" w:type="dxa"/>
            <w:gridSpan w:val="2"/>
          </w:tcPr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41"/>
              <w:gridCol w:w="2241"/>
              <w:gridCol w:w="224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spacing w:line="500" w:lineRule="exact"/>
                    <w:rPr>
                      <w:rFonts w:eastAsia="仿宋_GB2312"/>
                      <w:kern w:val="0"/>
                      <w:sz w:val="28"/>
                      <w:lang w:val="en-SG"/>
                    </w:rPr>
                  </w:pP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相关商品市场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line="500" w:lineRule="exact"/>
                    <w:rPr>
                      <w:rFonts w:eastAsia="仿宋_GB2312"/>
                      <w:kern w:val="0"/>
                      <w:sz w:val="28"/>
                      <w:lang w:val="en-SG"/>
                    </w:rPr>
                  </w:pP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相关地域市场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line="500" w:lineRule="exact"/>
                    <w:rPr>
                      <w:rFonts w:eastAsia="仿宋_GB2312"/>
                      <w:kern w:val="0"/>
                      <w:sz w:val="28"/>
                      <w:lang w:val="en-SG"/>
                    </w:rPr>
                  </w:pP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spacing w:line="500" w:lineRule="exact"/>
                    <w:rPr>
                      <w:rFonts w:eastAsia="仿宋_GB2312"/>
                      <w:kern w:val="0"/>
                      <w:sz w:val="28"/>
                      <w:lang w:val="en-SG"/>
                    </w:rPr>
                  </w:pPr>
                  <w:r>
                    <w:rPr>
                      <w:rFonts w:hint="eastAsia" w:eastAsia="仿宋_GB2312"/>
                      <w:kern w:val="0"/>
                      <w:sz w:val="28"/>
                      <w:lang w:val="en-SG" w:eastAsia="zh-CN"/>
                    </w:rPr>
                    <w:t>通用仓库开发与租赁</w:t>
                  </w:r>
                  <w:bookmarkStart w:id="0" w:name="_GoBack"/>
                  <w:bookmarkEnd w:id="0"/>
                </w:p>
              </w:tc>
              <w:tc>
                <w:tcPr>
                  <w:tcW w:w="2241" w:type="dxa"/>
                </w:tcPr>
                <w:p>
                  <w:pPr>
                    <w:spacing w:line="500" w:lineRule="exact"/>
                    <w:rPr>
                      <w:rFonts w:eastAsia="仿宋_GB2312"/>
                      <w:kern w:val="0"/>
                      <w:sz w:val="28"/>
                      <w:lang w:val="en-SG"/>
                    </w:rPr>
                  </w:pP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天津市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line="500" w:lineRule="exact"/>
                    <w:rPr>
                      <w:rFonts w:eastAsia="仿宋_GB2312"/>
                      <w:kern w:val="0"/>
                      <w:sz w:val="28"/>
                      <w:lang w:val="en-SG"/>
                    </w:rPr>
                  </w:pP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京东集团：[</w:t>
                  </w:r>
                  <w:r>
                    <w:rPr>
                      <w:rFonts w:eastAsia="仿宋_GB2312"/>
                      <w:kern w:val="0"/>
                      <w:sz w:val="28"/>
                      <w:lang w:val="en-SG"/>
                    </w:rPr>
                    <w:t>0-5]</w:t>
                  </w: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%</w:t>
                  </w:r>
                </w:p>
                <w:p>
                  <w:pPr>
                    <w:spacing w:line="500" w:lineRule="exact"/>
                    <w:rPr>
                      <w:rFonts w:eastAsia="仿宋_GB2312"/>
                      <w:kern w:val="0"/>
                      <w:sz w:val="28"/>
                      <w:lang w:val="en-SG"/>
                    </w:rPr>
                  </w:pP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天津绿地：[</w:t>
                  </w:r>
                  <w:r>
                    <w:rPr>
                      <w:rFonts w:eastAsia="仿宋_GB2312"/>
                      <w:kern w:val="0"/>
                      <w:sz w:val="28"/>
                      <w:lang w:val="en-SG"/>
                    </w:rPr>
                    <w:t>0-5]</w:t>
                  </w: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spacing w:line="500" w:lineRule="exact"/>
                    <w:rPr>
                      <w:rFonts w:eastAsia="仿宋_GB2312"/>
                      <w:kern w:val="0"/>
                      <w:sz w:val="28"/>
                      <w:lang w:val="en-SG"/>
                    </w:rPr>
                  </w:pP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快递服务市场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line="500" w:lineRule="exact"/>
                    <w:rPr>
                      <w:rFonts w:eastAsia="仿宋_GB2312"/>
                      <w:kern w:val="0"/>
                      <w:sz w:val="28"/>
                      <w:lang w:val="en-SG"/>
                    </w:rPr>
                  </w:pP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中国境内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line="500" w:lineRule="exact"/>
                    <w:rPr>
                      <w:rFonts w:eastAsia="仿宋_GB2312"/>
                      <w:kern w:val="0"/>
                      <w:sz w:val="28"/>
                      <w:lang w:val="en-SG"/>
                    </w:rPr>
                  </w:pP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京东集团：[</w:t>
                  </w:r>
                  <w:r>
                    <w:rPr>
                      <w:rFonts w:eastAsia="仿宋_GB2312"/>
                      <w:kern w:val="0"/>
                      <w:sz w:val="28"/>
                      <w:lang w:val="en-SG"/>
                    </w:rPr>
                    <w:t>0-5]</w:t>
                  </w: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spacing w:line="500" w:lineRule="exact"/>
                    <w:rPr>
                      <w:rFonts w:eastAsia="仿宋_GB2312"/>
                      <w:kern w:val="0"/>
                      <w:sz w:val="28"/>
                      <w:lang w:val="en-SG"/>
                    </w:rPr>
                  </w:pP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第三方物流服务市场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line="500" w:lineRule="exact"/>
                    <w:rPr>
                      <w:rFonts w:eastAsia="仿宋_GB2312"/>
                      <w:kern w:val="0"/>
                      <w:sz w:val="28"/>
                      <w:lang w:val="en-SG"/>
                    </w:rPr>
                  </w:pP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中国境内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line="500" w:lineRule="exact"/>
                    <w:rPr>
                      <w:rFonts w:eastAsia="仿宋_GB2312"/>
                      <w:kern w:val="0"/>
                      <w:sz w:val="28"/>
                      <w:lang w:val="en-SG"/>
                    </w:rPr>
                  </w:pP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京东集团：[</w:t>
                  </w:r>
                  <w:r>
                    <w:rPr>
                      <w:rFonts w:eastAsia="仿宋_GB2312"/>
                      <w:kern w:val="0"/>
                      <w:sz w:val="28"/>
                      <w:lang w:val="en-SG"/>
                    </w:rPr>
                    <w:t>0-5]</w:t>
                  </w:r>
                  <w:r>
                    <w:rPr>
                      <w:rFonts w:hint="eastAsia" w:eastAsia="仿宋_GB2312"/>
                      <w:kern w:val="0"/>
                      <w:sz w:val="28"/>
                      <w:lang w:val="en-SG"/>
                    </w:rPr>
                    <w:t>%</w:t>
                  </w:r>
                </w:p>
              </w:tc>
            </w:tr>
          </w:tbl>
          <w:p>
            <w:pPr>
              <w:spacing w:line="500" w:lineRule="exact"/>
              <w:rPr>
                <w:rFonts w:eastAsia="仿宋_GB2312"/>
                <w:sz w:val="28"/>
              </w:rPr>
            </w:pPr>
          </w:p>
        </w:tc>
      </w:tr>
    </w:tbl>
    <w:p/>
    <w:p>
      <w:r>
        <w:rPr>
          <w:rFonts w:hint="eastAsia"/>
        </w:rPr>
        <w:t>注解：</w:t>
      </w:r>
    </w:p>
    <w:p>
      <w:r>
        <w:rPr>
          <w:rFonts w:hint="eastAsia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r>
        <w:rPr>
          <w:rFonts w:hint="eastAsia"/>
        </w:rPr>
        <w:t>2、申报方申请简易案件的理由是基于第4项、第5项时，无须在备注中说明相关市场和市场份额。</w:t>
      </w:r>
    </w:p>
    <w:p>
      <w:r>
        <w:rPr>
          <w:rFonts w:hint="eastAsia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Droid Sans Fallback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MingLiU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altName w:val="Times New Roman"/>
    <w:panose1 w:val="020B0A04020102020204"/>
    <w:charset w:val="00"/>
    <w:family w:val="swiss"/>
    <w:pitch w:val="default"/>
    <w:sig w:usb0="00000000" w:usb1="00000000" w:usb2="00000000" w:usb3="00000000" w:csb0="000000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F52AB"/>
    <w:multiLevelType w:val="multilevel"/>
    <w:tmpl w:val="099F52AB"/>
    <w:lvl w:ilvl="0" w:tentative="0">
      <w:start w:val="1"/>
      <w:numFmt w:val="none"/>
      <w:pStyle w:val="61"/>
      <w:suff w:val="nothing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62"/>
      <w:lvlText w:val="%1%2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2" w:tentative="0">
      <w:start w:val="1"/>
      <w:numFmt w:val="decimal"/>
      <w:pStyle w:val="63"/>
      <w:lvlText w:val="%2.%3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 w:tentative="0">
      <w:start w:val="1"/>
      <w:numFmt w:val="lowerLetter"/>
      <w:pStyle w:val="64"/>
      <w:lvlText w:val="(%4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4" w:tentative="0">
      <w:start w:val="1"/>
      <w:numFmt w:val="lowerRoman"/>
      <w:pStyle w:val="65"/>
      <w:lvlText w:val="(%5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5" w:tentative="0">
      <w:start w:val="1"/>
      <w:numFmt w:val="upperLetter"/>
      <w:pStyle w:val="66"/>
      <w:lvlText w:val="(%6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6" w:tentative="0">
      <w:start w:val="1"/>
      <w:numFmt w:val="decimal"/>
      <w:lvlText w:val="(%7)"/>
      <w:lvlJc w:val="left"/>
      <w:pPr>
        <w:tabs>
          <w:tab w:val="left" w:pos="3544"/>
        </w:tabs>
        <w:ind w:left="3544" w:hanging="709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>
    <w:nsid w:val="21BE28D7"/>
    <w:multiLevelType w:val="multilevel"/>
    <w:tmpl w:val="21BE28D7"/>
    <w:lvl w:ilvl="0" w:tentative="0">
      <w:start w:val="1"/>
      <w:numFmt w:val="upperLetter"/>
      <w:pStyle w:val="60"/>
      <w:lvlText w:val="%1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40622118"/>
    <w:multiLevelType w:val="multilevel"/>
    <w:tmpl w:val="40622118"/>
    <w:lvl w:ilvl="0" w:tentative="0">
      <w:start w:val="1"/>
      <w:numFmt w:val="decimal"/>
      <w:pStyle w:val="11"/>
      <w:lvlText w:val="%1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1" w:tentative="0">
      <w:start w:val="1"/>
      <w:numFmt w:val="lowerLetter"/>
      <w:lvlRestart w:val="0"/>
      <w:pStyle w:val="10"/>
      <w:lvlText w:val="(%2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2" w:tentative="0">
      <w:start w:val="1"/>
      <w:numFmt w:val="lowerRoman"/>
      <w:lvlRestart w:val="0"/>
      <w:pStyle w:val="12"/>
      <w:lvlText w:val="(%3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3" w:tentative="0">
      <w:start w:val="1"/>
      <w:numFmt w:val="upperLetter"/>
      <w:lvlRestart w:val="0"/>
      <w:pStyle w:val="13"/>
      <w:lvlText w:val="(%4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4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>
    <w:nsid w:val="48FC3910"/>
    <w:multiLevelType w:val="multilevel"/>
    <w:tmpl w:val="48FC3910"/>
    <w:lvl w:ilvl="0" w:tentative="0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4"/>
      <w:lvlText w:val="%2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2" w:tentative="0">
      <w:start w:val="1"/>
      <w:numFmt w:val="decimal"/>
      <w:pStyle w:val="5"/>
      <w:lvlText w:val="%2.%3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 w:tentative="0">
      <w:start w:val="1"/>
      <w:numFmt w:val="lowerLetter"/>
      <w:pStyle w:val="6"/>
      <w:lvlText w:val="(%4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4" w:tentative="0">
      <w:start w:val="1"/>
      <w:numFmt w:val="lowerRoman"/>
      <w:pStyle w:val="7"/>
      <w:lvlText w:val="(%5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5" w:tentative="0">
      <w:start w:val="1"/>
      <w:numFmt w:val="upperLetter"/>
      <w:pStyle w:val="8"/>
      <w:lvlText w:val="(%6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6" w:tentative="0">
      <w:start w:val="1"/>
      <w:numFmt w:val="decimal"/>
      <w:pStyle w:val="9"/>
      <w:lvlText w:val="(%7)"/>
      <w:lvlJc w:val="left"/>
      <w:pPr>
        <w:tabs>
          <w:tab w:val="left" w:pos="2835"/>
        </w:tabs>
        <w:ind w:left="3544" w:hanging="709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>
    <w:nsid w:val="517C537A"/>
    <w:multiLevelType w:val="multilevel"/>
    <w:tmpl w:val="517C537A"/>
    <w:lvl w:ilvl="0" w:tentative="0">
      <w:start w:val="1"/>
      <w:numFmt w:val="none"/>
      <w:pStyle w:val="56"/>
      <w:suff w:val="nothing"/>
      <w:lvlText w:val=""/>
      <w:lvlJc w:val="left"/>
      <w:pPr>
        <w:ind w:left="709" w:firstLine="0"/>
      </w:pPr>
      <w:rPr>
        <w:rFonts w:hint="default"/>
      </w:rPr>
    </w:lvl>
    <w:lvl w:ilvl="1" w:tentative="0">
      <w:start w:val="1"/>
      <w:numFmt w:val="lowerLetter"/>
      <w:lvlText w:val="(%2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2" w:tentative="0">
      <w:start w:val="1"/>
      <w:numFmt w:val="lowerRoman"/>
      <w:lvlText w:val="(%3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3" w:tentative="0">
      <w:start w:val="1"/>
      <w:numFmt w:val="upperLetter"/>
      <w:lvlText w:val="(%4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4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7B1"/>
    <w:rsid w:val="00023F12"/>
    <w:rsid w:val="000C48B2"/>
    <w:rsid w:val="00325B34"/>
    <w:rsid w:val="003B77B1"/>
    <w:rsid w:val="006D7BB1"/>
    <w:rsid w:val="008C4257"/>
    <w:rsid w:val="009B3FCB"/>
    <w:rsid w:val="00A662B1"/>
    <w:rsid w:val="00AA2991"/>
    <w:rsid w:val="00D801BF"/>
    <w:rsid w:val="00D856DE"/>
    <w:rsid w:val="00DD3B11"/>
    <w:rsid w:val="00F37C73"/>
    <w:rsid w:val="79E70B9E"/>
    <w:rsid w:val="BBC6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7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7" w:semiHidden="0" w:name="List Number 2"/>
    <w:lsdException w:qFormat="1" w:unhideWhenUsed="0" w:uiPriority="7" w:semiHidden="0" w:name="List Number 3"/>
    <w:lsdException w:qFormat="1" w:unhideWhenUsed="0" w:uiPriority="7" w:semiHidden="0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6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69"/>
    <w:qFormat/>
    <w:uiPriority w:val="0"/>
    <w:pPr>
      <w:keepNext/>
      <w:numPr>
        <w:ilvl w:val="0"/>
        <w:numId w:val="1"/>
      </w:numPr>
      <w:spacing w:after="180" w:line="260" w:lineRule="atLeast"/>
      <w:outlineLvl w:val="0"/>
    </w:pPr>
    <w:rPr>
      <w:rFonts w:asciiTheme="majorHAnsi" w:hAnsiTheme="majorHAnsi" w:eastAsiaTheme="majorEastAsia" w:cstheme="majorHAnsi"/>
      <w:b/>
      <w:bCs/>
    </w:rPr>
  </w:style>
  <w:style w:type="paragraph" w:styleId="4">
    <w:name w:val="heading 2"/>
    <w:basedOn w:val="1"/>
    <w:next w:val="3"/>
    <w:link w:val="70"/>
    <w:qFormat/>
    <w:uiPriority w:val="0"/>
    <w:pPr>
      <w:keepNext/>
      <w:numPr>
        <w:ilvl w:val="1"/>
        <w:numId w:val="1"/>
      </w:numPr>
      <w:spacing w:after="180" w:line="260" w:lineRule="atLeast"/>
      <w:outlineLvl w:val="1"/>
    </w:pPr>
    <w:rPr>
      <w:rFonts w:asciiTheme="majorHAnsi" w:hAnsiTheme="majorHAnsi" w:eastAsiaTheme="majorEastAsia" w:cstheme="majorHAnsi"/>
      <w:b/>
      <w:bCs/>
    </w:rPr>
  </w:style>
  <w:style w:type="paragraph" w:styleId="5">
    <w:name w:val="heading 3"/>
    <w:basedOn w:val="1"/>
    <w:next w:val="1"/>
    <w:link w:val="71"/>
    <w:qFormat/>
    <w:uiPriority w:val="0"/>
    <w:pPr>
      <w:numPr>
        <w:ilvl w:val="2"/>
        <w:numId w:val="1"/>
      </w:numPr>
      <w:spacing w:after="180" w:line="260" w:lineRule="atLeast"/>
      <w:outlineLvl w:val="2"/>
    </w:pPr>
  </w:style>
  <w:style w:type="paragraph" w:styleId="6">
    <w:name w:val="heading 4"/>
    <w:basedOn w:val="1"/>
    <w:next w:val="1"/>
    <w:link w:val="72"/>
    <w:qFormat/>
    <w:uiPriority w:val="0"/>
    <w:pPr>
      <w:numPr>
        <w:ilvl w:val="3"/>
        <w:numId w:val="1"/>
      </w:numPr>
      <w:spacing w:after="180" w:line="260" w:lineRule="atLeast"/>
      <w:outlineLvl w:val="3"/>
    </w:pPr>
  </w:style>
  <w:style w:type="paragraph" w:styleId="7">
    <w:name w:val="heading 5"/>
    <w:basedOn w:val="1"/>
    <w:next w:val="1"/>
    <w:link w:val="73"/>
    <w:qFormat/>
    <w:uiPriority w:val="0"/>
    <w:pPr>
      <w:numPr>
        <w:ilvl w:val="4"/>
        <w:numId w:val="1"/>
      </w:numPr>
      <w:spacing w:after="180" w:line="260" w:lineRule="atLeast"/>
      <w:outlineLvl w:val="4"/>
    </w:pPr>
  </w:style>
  <w:style w:type="paragraph" w:styleId="8">
    <w:name w:val="heading 6"/>
    <w:basedOn w:val="1"/>
    <w:next w:val="1"/>
    <w:link w:val="74"/>
    <w:qFormat/>
    <w:uiPriority w:val="0"/>
    <w:pPr>
      <w:numPr>
        <w:ilvl w:val="5"/>
        <w:numId w:val="1"/>
      </w:numPr>
      <w:spacing w:after="180" w:line="260" w:lineRule="atLeast"/>
      <w:outlineLvl w:val="5"/>
    </w:pPr>
  </w:style>
  <w:style w:type="paragraph" w:styleId="9">
    <w:name w:val="heading 7"/>
    <w:basedOn w:val="1"/>
    <w:next w:val="1"/>
    <w:link w:val="75"/>
    <w:qFormat/>
    <w:uiPriority w:val="0"/>
    <w:pPr>
      <w:numPr>
        <w:ilvl w:val="6"/>
        <w:numId w:val="1"/>
      </w:numPr>
      <w:spacing w:after="180" w:line="260" w:lineRule="atLeast"/>
      <w:outlineLvl w:val="6"/>
    </w:p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51"/>
    <w:semiHidden/>
    <w:unhideWhenUsed/>
    <w:qFormat/>
    <w:uiPriority w:val="99"/>
    <w:pPr>
      <w:spacing w:after="120"/>
    </w:pPr>
  </w:style>
  <w:style w:type="paragraph" w:styleId="10">
    <w:name w:val="List Number 2"/>
    <w:basedOn w:val="1"/>
    <w:qFormat/>
    <w:uiPriority w:val="7"/>
    <w:pPr>
      <w:numPr>
        <w:ilvl w:val="1"/>
        <w:numId w:val="2"/>
      </w:numPr>
      <w:spacing w:after="180" w:line="260" w:lineRule="atLeast"/>
    </w:pPr>
  </w:style>
  <w:style w:type="paragraph" w:styleId="11">
    <w:name w:val="List Number"/>
    <w:basedOn w:val="1"/>
    <w:qFormat/>
    <w:uiPriority w:val="7"/>
    <w:pPr>
      <w:numPr>
        <w:ilvl w:val="0"/>
        <w:numId w:val="2"/>
      </w:numPr>
      <w:spacing w:after="180" w:line="260" w:lineRule="atLeast"/>
    </w:pPr>
  </w:style>
  <w:style w:type="paragraph" w:styleId="12">
    <w:name w:val="List Number 3"/>
    <w:basedOn w:val="1"/>
    <w:qFormat/>
    <w:uiPriority w:val="7"/>
    <w:pPr>
      <w:numPr>
        <w:ilvl w:val="2"/>
        <w:numId w:val="2"/>
      </w:numPr>
      <w:spacing w:after="180" w:line="260" w:lineRule="atLeast"/>
    </w:pPr>
  </w:style>
  <w:style w:type="paragraph" w:styleId="13">
    <w:name w:val="List Number 4"/>
    <w:basedOn w:val="1"/>
    <w:qFormat/>
    <w:uiPriority w:val="7"/>
    <w:pPr>
      <w:numPr>
        <w:ilvl w:val="3"/>
        <w:numId w:val="2"/>
      </w:numPr>
      <w:spacing w:after="180" w:line="260" w:lineRule="atLeast"/>
    </w:pPr>
  </w:style>
  <w:style w:type="paragraph" w:styleId="14">
    <w:name w:val="footer"/>
    <w:basedOn w:val="1"/>
    <w:link w:val="42"/>
    <w:qFormat/>
    <w:uiPriority w:val="99"/>
    <w:pPr>
      <w:tabs>
        <w:tab w:val="right" w:pos="9350"/>
      </w:tabs>
      <w:spacing w:line="200" w:lineRule="atLeast"/>
    </w:pPr>
    <w:rPr>
      <w:rFonts w:asciiTheme="majorHAnsi" w:hAnsiTheme="majorHAnsi" w:eastAsiaTheme="majorEastAsia" w:cstheme="majorHAnsi"/>
      <w:sz w:val="16"/>
    </w:rPr>
  </w:style>
  <w:style w:type="paragraph" w:styleId="15">
    <w:name w:val="header"/>
    <w:basedOn w:val="1"/>
    <w:link w:val="76"/>
    <w:unhideWhenUsed/>
    <w:qFormat/>
    <w:uiPriority w:val="99"/>
    <w:pPr>
      <w:tabs>
        <w:tab w:val="center" w:pos="4320"/>
        <w:tab w:val="right" w:pos="8640"/>
      </w:tabs>
    </w:pPr>
  </w:style>
  <w:style w:type="table" w:styleId="17">
    <w:name w:val="Table Grid"/>
    <w:basedOn w:val="16"/>
    <w:qFormat/>
    <w:uiPriority w:val="59"/>
    <w:rPr>
      <w:rFonts w:ascii="Times New Roman" w:hAnsi="Times New Roman" w:eastAsia="PMingLiU" w:cs="Times New Roman"/>
      <w:kern w:val="0"/>
      <w:sz w:val="20"/>
      <w:szCs w:val="20"/>
      <w:lang w:val="en-S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semiHidden/>
    <w:qFormat/>
    <w:uiPriority w:val="99"/>
    <w:rPr>
      <w:szCs w:val="16"/>
    </w:rPr>
  </w:style>
  <w:style w:type="character" w:styleId="20">
    <w:name w:val="FollowedHyperlink"/>
    <w:basedOn w:val="18"/>
    <w:unhideWhenUsed/>
    <w:qFormat/>
    <w:uiPriority w:val="0"/>
    <w:rPr>
      <w:color w:val="800080"/>
      <w:u w:val="single"/>
    </w:rPr>
  </w:style>
  <w:style w:type="character" w:styleId="21">
    <w:name w:val="Hyperlink"/>
    <w:semiHidden/>
    <w:qFormat/>
    <w:uiPriority w:val="6"/>
    <w:rPr>
      <w:color w:val="0000FF"/>
      <w:u w:val="single"/>
    </w:rPr>
  </w:style>
  <w:style w:type="paragraph" w:customStyle="1" w:styleId="22">
    <w:name w:val="Bullet 1"/>
    <w:basedOn w:val="1"/>
    <w:qFormat/>
    <w:uiPriority w:val="8"/>
    <w:pPr>
      <w:spacing w:after="180" w:line="260" w:lineRule="atLeast"/>
    </w:pPr>
  </w:style>
  <w:style w:type="paragraph" w:customStyle="1" w:styleId="23">
    <w:name w:val="Bullet 2"/>
    <w:basedOn w:val="1"/>
    <w:qFormat/>
    <w:uiPriority w:val="8"/>
    <w:pPr>
      <w:spacing w:line="260" w:lineRule="atLeast"/>
    </w:pPr>
  </w:style>
  <w:style w:type="paragraph" w:customStyle="1" w:styleId="24">
    <w:name w:val="BMK Address Info"/>
    <w:link w:val="25"/>
    <w:semiHidden/>
    <w:qFormat/>
    <w:uiPriority w:val="0"/>
    <w:rPr>
      <w:rFonts w:ascii="Arial" w:hAnsi="Arial" w:eastAsia="PMingLiU" w:cstheme="minorBidi"/>
      <w:kern w:val="0"/>
      <w:sz w:val="16"/>
      <w:szCs w:val="22"/>
      <w:lang w:val="en-AU" w:eastAsia="zh-CN" w:bidi="ar-SA"/>
    </w:rPr>
  </w:style>
  <w:style w:type="character" w:customStyle="1" w:styleId="25">
    <w:name w:val="BMK Address Info Char"/>
    <w:link w:val="24"/>
    <w:semiHidden/>
    <w:qFormat/>
    <w:uiPriority w:val="0"/>
    <w:rPr>
      <w:rFonts w:ascii="Arial" w:hAnsi="Arial" w:eastAsia="PMingLiU"/>
      <w:kern w:val="0"/>
      <w:sz w:val="16"/>
      <w:lang w:val="en-AU"/>
    </w:rPr>
  </w:style>
  <w:style w:type="paragraph" w:customStyle="1" w:styleId="26">
    <w:name w:val="BMK Address1"/>
    <w:basedOn w:val="1"/>
    <w:semiHidden/>
    <w:qFormat/>
    <w:uiPriority w:val="0"/>
    <w:pPr>
      <w:spacing w:line="260" w:lineRule="atLeast"/>
    </w:pPr>
  </w:style>
  <w:style w:type="paragraph" w:customStyle="1" w:styleId="27">
    <w:name w:val="BMK Attention"/>
    <w:basedOn w:val="1"/>
    <w:semiHidden/>
    <w:qFormat/>
    <w:uiPriority w:val="0"/>
    <w:pPr>
      <w:spacing w:line="260" w:lineRule="atLeast"/>
    </w:pPr>
  </w:style>
  <w:style w:type="paragraph" w:customStyle="1" w:styleId="28">
    <w:name w:val="BMK Cities"/>
    <w:semiHidden/>
    <w:qFormat/>
    <w:uiPriority w:val="0"/>
    <w:rPr>
      <w:rFonts w:ascii="Arial" w:hAnsi="Arial" w:eastAsia="PMingLiU" w:cstheme="minorBidi"/>
      <w:spacing w:val="2"/>
      <w:kern w:val="0"/>
      <w:sz w:val="11"/>
      <w:szCs w:val="11"/>
      <w:lang w:val="en-AU" w:eastAsia="zh-CN" w:bidi="ar-SA"/>
    </w:rPr>
  </w:style>
  <w:style w:type="paragraph" w:customStyle="1" w:styleId="29">
    <w:name w:val="BMK Cities Space"/>
    <w:basedOn w:val="28"/>
    <w:semiHidden/>
    <w:qFormat/>
    <w:uiPriority w:val="0"/>
  </w:style>
  <w:style w:type="paragraph" w:customStyle="1" w:styleId="30">
    <w:name w:val="BMK Delivery Phrase"/>
    <w:basedOn w:val="24"/>
    <w:semiHidden/>
    <w:qFormat/>
    <w:uiPriority w:val="0"/>
    <w:pPr>
      <w:framePr w:w="2943" w:h="1734" w:hRule="exact" w:wrap="around" w:vAnchor="text" w:hAnchor="page" w:x="8533" w:y="208"/>
    </w:pPr>
    <w:rPr>
      <w:b/>
    </w:rPr>
  </w:style>
  <w:style w:type="paragraph" w:customStyle="1" w:styleId="31">
    <w:name w:val="BMK Document Name"/>
    <w:basedOn w:val="1"/>
    <w:next w:val="1"/>
    <w:semiHidden/>
    <w:qFormat/>
    <w:uiPriority w:val="0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sz w:val="18"/>
    </w:rPr>
  </w:style>
  <w:style w:type="paragraph" w:customStyle="1" w:styleId="32">
    <w:name w:val="BMK Document Name HK"/>
    <w:basedOn w:val="1"/>
    <w:next w:val="1"/>
    <w:semiHidden/>
    <w:qFormat/>
    <w:uiPriority w:val="0"/>
    <w:pPr>
      <w:spacing w:line="200" w:lineRule="atLeast"/>
    </w:pPr>
    <w:rPr>
      <w:rFonts w:ascii="Arial Black" w:hAnsi="Arial Black" w:eastAsiaTheme="majorEastAsia" w:cstheme="majorHAnsi"/>
      <w:b/>
      <w:sz w:val="18"/>
      <w:szCs w:val="32"/>
    </w:rPr>
  </w:style>
  <w:style w:type="paragraph" w:customStyle="1" w:styleId="33">
    <w:name w:val="BMK Legal Notice Phrase"/>
    <w:basedOn w:val="1"/>
    <w:semiHidden/>
    <w:qFormat/>
    <w:uiPriority w:val="0"/>
    <w:pPr>
      <w:spacing w:before="260" w:after="180" w:line="260" w:lineRule="atLeast"/>
    </w:pPr>
    <w:rPr>
      <w:rFonts w:asciiTheme="majorHAnsi" w:hAnsiTheme="majorHAnsi" w:eastAsiaTheme="majorEastAsia" w:cstheme="majorHAnsi"/>
      <w:b/>
      <w:caps/>
    </w:rPr>
  </w:style>
  <w:style w:type="paragraph" w:customStyle="1" w:styleId="34">
    <w:name w:val="BMK LetterCaption"/>
    <w:basedOn w:val="33"/>
    <w:next w:val="1"/>
    <w:semiHidden/>
    <w:qFormat/>
    <w:uiPriority w:val="0"/>
    <w:pPr>
      <w:spacing w:before="0"/>
    </w:pPr>
  </w:style>
  <w:style w:type="paragraph" w:customStyle="1" w:styleId="35">
    <w:name w:val="BMK Member Firm Name"/>
    <w:basedOn w:val="24"/>
    <w:next w:val="24"/>
    <w:link w:val="36"/>
    <w:semiHidden/>
    <w:qFormat/>
    <w:uiPriority w:val="0"/>
    <w:rPr>
      <w:b/>
      <w:bCs/>
    </w:rPr>
  </w:style>
  <w:style w:type="character" w:customStyle="1" w:styleId="36">
    <w:name w:val="BMK Member Firm Name Char"/>
    <w:link w:val="35"/>
    <w:semiHidden/>
    <w:qFormat/>
    <w:uiPriority w:val="0"/>
    <w:rPr>
      <w:rFonts w:ascii="Arial" w:hAnsi="Arial" w:eastAsia="PMingLiU"/>
      <w:b/>
      <w:bCs/>
      <w:kern w:val="0"/>
      <w:sz w:val="16"/>
      <w:lang w:val="en-AU"/>
    </w:rPr>
  </w:style>
  <w:style w:type="paragraph" w:customStyle="1" w:styleId="37">
    <w:name w:val="BMK Multi Office"/>
    <w:basedOn w:val="1"/>
    <w:next w:val="1"/>
    <w:semiHidden/>
    <w:qFormat/>
    <w:uiPriority w:val="0"/>
    <w:rPr>
      <w:rFonts w:ascii="Arial Black" w:hAnsi="Arial Black" w:eastAsia="PMingLiU"/>
      <w:spacing w:val="2"/>
      <w:sz w:val="11"/>
    </w:rPr>
  </w:style>
  <w:style w:type="paragraph" w:customStyle="1" w:styleId="38">
    <w:name w:val="BMK Multi Office Address"/>
    <w:basedOn w:val="28"/>
    <w:semiHidden/>
    <w:qFormat/>
    <w:uiPriority w:val="0"/>
  </w:style>
  <w:style w:type="paragraph" w:customStyle="1" w:styleId="39">
    <w:name w:val="BMK Partner List"/>
    <w:basedOn w:val="28"/>
    <w:semiHidden/>
    <w:qFormat/>
    <w:uiPriority w:val="0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40">
    <w:name w:val="BMK Privacy Text"/>
    <w:basedOn w:val="14"/>
    <w:link w:val="41"/>
    <w:semiHidden/>
    <w:qFormat/>
    <w:uiPriority w:val="0"/>
    <w:rPr>
      <w:szCs w:val="22"/>
    </w:rPr>
  </w:style>
  <w:style w:type="character" w:customStyle="1" w:styleId="41">
    <w:name w:val="BMK Privacy Text Char"/>
    <w:link w:val="40"/>
    <w:semiHidden/>
    <w:qFormat/>
    <w:uiPriority w:val="0"/>
    <w:rPr>
      <w:rFonts w:asciiTheme="majorHAnsi" w:hAnsiTheme="majorHAnsi" w:eastAsiaTheme="majorEastAsia" w:cstheme="majorHAnsi"/>
      <w:kern w:val="0"/>
      <w:sz w:val="16"/>
      <w:lang w:val="en-AU"/>
    </w:rPr>
  </w:style>
  <w:style w:type="character" w:customStyle="1" w:styleId="42">
    <w:name w:val="页脚 字符"/>
    <w:link w:val="14"/>
    <w:qFormat/>
    <w:uiPriority w:val="99"/>
    <w:rPr>
      <w:rFonts w:asciiTheme="majorHAnsi" w:hAnsiTheme="majorHAnsi" w:eastAsiaTheme="majorEastAsia" w:cstheme="majorHAnsi"/>
      <w:kern w:val="0"/>
      <w:sz w:val="16"/>
      <w:lang w:val="en-AU"/>
    </w:rPr>
  </w:style>
  <w:style w:type="paragraph" w:customStyle="1" w:styleId="43">
    <w:name w:val="BMK Privacy Title"/>
    <w:basedOn w:val="1"/>
    <w:semiHidden/>
    <w:qFormat/>
    <w:uiPriority w:val="0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44">
    <w:name w:val="BMK Qualifier"/>
    <w:semiHidden/>
    <w:qFormat/>
    <w:uiPriority w:val="0"/>
    <w:pPr>
      <w:spacing w:after="200" w:line="170" w:lineRule="atLeast"/>
    </w:pPr>
    <w:rPr>
      <w:rFonts w:eastAsia="PMingLiU" w:asciiTheme="majorHAnsi" w:hAnsiTheme="majorHAnsi" w:cstheme="minorBidi"/>
      <w:caps/>
      <w:kern w:val="0"/>
      <w:sz w:val="13"/>
      <w:szCs w:val="13"/>
      <w:lang w:val="en-AU" w:eastAsia="zh-CN" w:bidi="ar-SA"/>
    </w:rPr>
  </w:style>
  <w:style w:type="paragraph" w:customStyle="1" w:styleId="45">
    <w:name w:val="BMK Recipient1"/>
    <w:basedOn w:val="1"/>
    <w:semiHidden/>
    <w:qFormat/>
    <w:uiPriority w:val="0"/>
    <w:pPr>
      <w:spacing w:line="260" w:lineRule="atLeast"/>
    </w:pPr>
  </w:style>
  <w:style w:type="paragraph" w:customStyle="1" w:styleId="46">
    <w:name w:val="BMK Ref Info"/>
    <w:basedOn w:val="24"/>
    <w:semiHidden/>
    <w:qFormat/>
    <w:uiPriority w:val="0"/>
    <w:pPr>
      <w:framePr w:w="2943" w:h="1734" w:hRule="exact" w:wrap="around" w:vAnchor="text" w:hAnchor="page" w:x="8533" w:y="208"/>
    </w:pPr>
  </w:style>
  <w:style w:type="paragraph" w:customStyle="1" w:styleId="47">
    <w:name w:val="BMK Regions"/>
    <w:basedOn w:val="28"/>
    <w:next w:val="28"/>
    <w:semiHidden/>
    <w:qFormat/>
    <w:uiPriority w:val="0"/>
    <w:rPr>
      <w:rFonts w:ascii="Arial Black" w:hAnsi="Arial Black"/>
      <w:szCs w:val="24"/>
    </w:rPr>
  </w:style>
  <w:style w:type="paragraph" w:customStyle="1" w:styleId="48">
    <w:name w:val="BMK Salutation"/>
    <w:basedOn w:val="1"/>
    <w:semiHidden/>
    <w:qFormat/>
    <w:uiPriority w:val="0"/>
    <w:pPr>
      <w:spacing w:line="260" w:lineRule="atLeast"/>
    </w:pPr>
  </w:style>
  <w:style w:type="paragraph" w:customStyle="1" w:styleId="49">
    <w:name w:val="BMK Subject"/>
    <w:basedOn w:val="1"/>
    <w:semiHidden/>
    <w:qFormat/>
    <w:uiPriority w:val="0"/>
    <w:pPr>
      <w:spacing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50">
    <w:name w:val="BMK Subtitle"/>
    <w:basedOn w:val="1"/>
    <w:next w:val="3"/>
    <w:semiHidden/>
    <w:qFormat/>
    <w:uiPriority w:val="0"/>
    <w:pPr>
      <w:spacing w:after="180" w:line="260" w:lineRule="atLeast"/>
    </w:pPr>
    <w:rPr>
      <w:rFonts w:asciiTheme="majorHAnsi" w:hAnsiTheme="majorHAnsi" w:eastAsiaTheme="majorEastAsia" w:cstheme="majorHAnsi"/>
      <w:sz w:val="32"/>
    </w:rPr>
  </w:style>
  <w:style w:type="character" w:customStyle="1" w:styleId="51">
    <w:name w:val="正文文本 字符"/>
    <w:basedOn w:val="18"/>
    <w:link w:val="3"/>
    <w:semiHidden/>
    <w:qFormat/>
    <w:uiPriority w:val="99"/>
  </w:style>
  <w:style w:type="paragraph" w:customStyle="1" w:styleId="52">
    <w:name w:val="BMK Title"/>
    <w:basedOn w:val="1"/>
    <w:next w:val="3"/>
    <w:semiHidden/>
    <w:qFormat/>
    <w:uiPriority w:val="0"/>
    <w:pPr>
      <w:spacing w:after="180" w:line="260" w:lineRule="atLeast"/>
    </w:pPr>
    <w:rPr>
      <w:rFonts w:asciiTheme="majorHAnsi" w:hAnsiTheme="majorHAnsi" w:eastAsiaTheme="majorEastAsia" w:cstheme="majorHAnsi"/>
      <w:sz w:val="48"/>
    </w:rPr>
  </w:style>
  <w:style w:type="paragraph" w:customStyle="1" w:styleId="53">
    <w:name w:val="BMKDate"/>
    <w:basedOn w:val="1"/>
    <w:semiHidden/>
    <w:qFormat/>
    <w:uiPriority w:val="0"/>
    <w:pPr>
      <w:spacing w:line="260" w:lineRule="atLeast"/>
    </w:pPr>
  </w:style>
  <w:style w:type="paragraph" w:customStyle="1" w:styleId="54">
    <w:name w:val="BMKHeaderLogoSHI"/>
    <w:semiHidden/>
    <w:qFormat/>
    <w:uiPriority w:val="0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asciiTheme="minorHAnsi" w:hAnsiTheme="minorHAnsi" w:eastAsiaTheme="minorEastAsia" w:cstheme="minorHAnsi"/>
      <w:kern w:val="0"/>
      <w:sz w:val="22"/>
      <w:szCs w:val="24"/>
      <w:lang w:val="en-AU" w:eastAsia="zh-CN" w:bidi="ar-SA"/>
    </w:rPr>
  </w:style>
  <w:style w:type="character" w:customStyle="1" w:styleId="55">
    <w:name w:val="Definition"/>
    <w:basedOn w:val="18"/>
    <w:qFormat/>
    <w:uiPriority w:val="3"/>
    <w:rPr>
      <w:b/>
      <w:bCs/>
      <w:szCs w:val="28"/>
    </w:rPr>
  </w:style>
  <w:style w:type="paragraph" w:customStyle="1" w:styleId="56">
    <w:name w:val="Definition Paragraph"/>
    <w:basedOn w:val="1"/>
    <w:qFormat/>
    <w:uiPriority w:val="2"/>
    <w:pPr>
      <w:numPr>
        <w:ilvl w:val="0"/>
        <w:numId w:val="3"/>
      </w:numPr>
      <w:spacing w:after="180" w:line="260" w:lineRule="atLeast"/>
    </w:pPr>
  </w:style>
  <w:style w:type="character" w:customStyle="1" w:styleId="57">
    <w:name w:val="DMReference"/>
    <w:basedOn w:val="42"/>
    <w:semiHidden/>
    <w:qFormat/>
    <w:uiPriority w:val="0"/>
    <w:rPr>
      <w:rFonts w:asciiTheme="majorHAnsi" w:hAnsiTheme="majorHAnsi" w:eastAsiaTheme="majorEastAsia" w:cstheme="majorHAnsi"/>
      <w:kern w:val="0"/>
      <w:sz w:val="16"/>
      <w:szCs w:val="16"/>
      <w:lang w:val="en-AU"/>
    </w:rPr>
  </w:style>
  <w:style w:type="paragraph" w:customStyle="1" w:styleId="58">
    <w:name w:val="LetterDetail"/>
    <w:basedOn w:val="1"/>
    <w:semiHidden/>
    <w:qFormat/>
    <w:uiPriority w:val="0"/>
    <w:pPr>
      <w:spacing w:line="260" w:lineRule="atLeast"/>
    </w:pPr>
  </w:style>
  <w:style w:type="paragraph" w:customStyle="1" w:styleId="59">
    <w:name w:val="OtherContact"/>
    <w:basedOn w:val="1"/>
    <w:semiHidden/>
    <w:qFormat/>
    <w:uiPriority w:val="0"/>
    <w:rPr>
      <w:rFonts w:asciiTheme="majorHAnsi" w:hAnsiTheme="majorHAnsi" w:eastAsiaTheme="majorEastAsia" w:cstheme="majorHAnsi"/>
      <w:sz w:val="16"/>
    </w:rPr>
  </w:style>
  <w:style w:type="paragraph" w:customStyle="1" w:styleId="60">
    <w:name w:val="Recital"/>
    <w:basedOn w:val="1"/>
    <w:qFormat/>
    <w:uiPriority w:val="7"/>
    <w:pPr>
      <w:numPr>
        <w:ilvl w:val="0"/>
        <w:numId w:val="4"/>
      </w:numPr>
      <w:spacing w:after="180" w:line="260" w:lineRule="atLeast"/>
    </w:pPr>
  </w:style>
  <w:style w:type="paragraph" w:customStyle="1" w:styleId="61">
    <w:name w:val="SchH1"/>
    <w:basedOn w:val="1"/>
    <w:next w:val="3"/>
    <w:qFormat/>
    <w:uiPriority w:val="6"/>
    <w:pPr>
      <w:keepNext/>
      <w:numPr>
        <w:ilvl w:val="0"/>
        <w:numId w:val="5"/>
      </w:numPr>
      <w:spacing w:after="180"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62">
    <w:name w:val="SchH2"/>
    <w:basedOn w:val="1"/>
    <w:next w:val="3"/>
    <w:qFormat/>
    <w:uiPriority w:val="6"/>
    <w:pPr>
      <w:keepNext/>
      <w:numPr>
        <w:ilvl w:val="1"/>
        <w:numId w:val="5"/>
      </w:numPr>
      <w:spacing w:after="180"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63">
    <w:name w:val="SchH3"/>
    <w:basedOn w:val="1"/>
    <w:qFormat/>
    <w:uiPriority w:val="6"/>
    <w:pPr>
      <w:numPr>
        <w:ilvl w:val="2"/>
        <w:numId w:val="5"/>
      </w:numPr>
      <w:spacing w:after="180" w:line="260" w:lineRule="atLeast"/>
    </w:pPr>
  </w:style>
  <w:style w:type="paragraph" w:customStyle="1" w:styleId="64">
    <w:name w:val="SchH4"/>
    <w:basedOn w:val="1"/>
    <w:qFormat/>
    <w:uiPriority w:val="6"/>
    <w:pPr>
      <w:numPr>
        <w:ilvl w:val="3"/>
        <w:numId w:val="5"/>
      </w:numPr>
      <w:spacing w:after="180" w:line="260" w:lineRule="atLeast"/>
    </w:pPr>
  </w:style>
  <w:style w:type="paragraph" w:customStyle="1" w:styleId="65">
    <w:name w:val="SchH5"/>
    <w:basedOn w:val="1"/>
    <w:qFormat/>
    <w:uiPriority w:val="6"/>
    <w:pPr>
      <w:numPr>
        <w:ilvl w:val="4"/>
        <w:numId w:val="5"/>
      </w:numPr>
      <w:spacing w:after="180" w:line="260" w:lineRule="atLeast"/>
    </w:pPr>
  </w:style>
  <w:style w:type="paragraph" w:customStyle="1" w:styleId="66">
    <w:name w:val="SchH6"/>
    <w:basedOn w:val="1"/>
    <w:qFormat/>
    <w:uiPriority w:val="6"/>
    <w:pPr>
      <w:numPr>
        <w:ilvl w:val="5"/>
        <w:numId w:val="5"/>
      </w:numPr>
      <w:spacing w:after="180" w:line="260" w:lineRule="atLeast"/>
    </w:pPr>
  </w:style>
  <w:style w:type="paragraph" w:customStyle="1" w:styleId="67">
    <w:name w:val="SchSH"/>
    <w:basedOn w:val="1"/>
    <w:next w:val="3"/>
    <w:qFormat/>
    <w:uiPriority w:val="6"/>
    <w:pPr>
      <w:keepNext/>
      <w:spacing w:after="180" w:line="260" w:lineRule="atLeast"/>
    </w:pPr>
    <w:rPr>
      <w:rFonts w:asciiTheme="majorHAnsi" w:hAnsiTheme="majorHAnsi" w:eastAsiaTheme="majorEastAsia" w:cstheme="majorHAnsi"/>
      <w:b/>
    </w:rPr>
  </w:style>
  <w:style w:type="paragraph" w:customStyle="1" w:styleId="68">
    <w:name w:val="TOCHeading"/>
    <w:basedOn w:val="1"/>
    <w:next w:val="3"/>
    <w:semiHidden/>
    <w:qFormat/>
    <w:uiPriority w:val="11"/>
    <w:pPr>
      <w:pBdr>
        <w:bottom w:val="single" w:color="auto" w:sz="4" w:space="9"/>
      </w:pBdr>
      <w:spacing w:after="180" w:line="260" w:lineRule="exact"/>
    </w:pPr>
    <w:rPr>
      <w:rFonts w:asciiTheme="majorHAnsi" w:hAnsiTheme="majorHAnsi" w:eastAsiaTheme="majorEastAsia" w:cstheme="majorHAnsi"/>
      <w:b/>
      <w:bCs/>
      <w:sz w:val="24"/>
    </w:rPr>
  </w:style>
  <w:style w:type="character" w:customStyle="1" w:styleId="69">
    <w:name w:val="标题 1 字符"/>
    <w:basedOn w:val="18"/>
    <w:link w:val="2"/>
    <w:qFormat/>
    <w:uiPriority w:val="0"/>
    <w:rPr>
      <w:rFonts w:asciiTheme="majorHAnsi" w:hAnsiTheme="majorHAnsi" w:eastAsiaTheme="majorEastAsia" w:cstheme="majorHAnsi"/>
      <w:b/>
      <w:bCs/>
      <w:kern w:val="0"/>
      <w:sz w:val="22"/>
      <w:szCs w:val="28"/>
      <w:lang w:val="en-AU"/>
    </w:rPr>
  </w:style>
  <w:style w:type="character" w:customStyle="1" w:styleId="70">
    <w:name w:val="标题 2 字符"/>
    <w:basedOn w:val="18"/>
    <w:link w:val="4"/>
    <w:qFormat/>
    <w:uiPriority w:val="0"/>
    <w:rPr>
      <w:rFonts w:asciiTheme="majorHAnsi" w:hAnsiTheme="majorHAnsi" w:eastAsiaTheme="majorEastAsia" w:cstheme="majorHAnsi"/>
      <w:b/>
      <w:bCs/>
      <w:kern w:val="0"/>
      <w:sz w:val="22"/>
      <w:szCs w:val="28"/>
      <w:lang w:val="en-AU"/>
    </w:rPr>
  </w:style>
  <w:style w:type="character" w:customStyle="1" w:styleId="71">
    <w:name w:val="标题 3 字符"/>
    <w:basedOn w:val="18"/>
    <w:link w:val="5"/>
    <w:qFormat/>
    <w:uiPriority w:val="0"/>
    <w:rPr>
      <w:kern w:val="0"/>
      <w:sz w:val="22"/>
      <w:szCs w:val="28"/>
      <w:lang w:val="en-AU"/>
    </w:rPr>
  </w:style>
  <w:style w:type="character" w:customStyle="1" w:styleId="72">
    <w:name w:val="标题 4 字符"/>
    <w:basedOn w:val="18"/>
    <w:link w:val="6"/>
    <w:qFormat/>
    <w:uiPriority w:val="0"/>
    <w:rPr>
      <w:kern w:val="0"/>
      <w:sz w:val="22"/>
      <w:szCs w:val="28"/>
      <w:lang w:val="en-AU"/>
    </w:rPr>
  </w:style>
  <w:style w:type="character" w:customStyle="1" w:styleId="73">
    <w:name w:val="标题 5 字符"/>
    <w:basedOn w:val="18"/>
    <w:link w:val="7"/>
    <w:qFormat/>
    <w:uiPriority w:val="0"/>
    <w:rPr>
      <w:kern w:val="0"/>
      <w:sz w:val="22"/>
      <w:szCs w:val="28"/>
      <w:lang w:val="en-AU"/>
    </w:rPr>
  </w:style>
  <w:style w:type="character" w:customStyle="1" w:styleId="74">
    <w:name w:val="标题 6 字符"/>
    <w:basedOn w:val="18"/>
    <w:link w:val="8"/>
    <w:qFormat/>
    <w:uiPriority w:val="0"/>
    <w:rPr>
      <w:kern w:val="0"/>
      <w:sz w:val="22"/>
      <w:szCs w:val="28"/>
      <w:lang w:val="en-AU"/>
    </w:rPr>
  </w:style>
  <w:style w:type="character" w:customStyle="1" w:styleId="75">
    <w:name w:val="标题 7 字符"/>
    <w:basedOn w:val="18"/>
    <w:link w:val="9"/>
    <w:qFormat/>
    <w:uiPriority w:val="0"/>
    <w:rPr>
      <w:kern w:val="0"/>
      <w:sz w:val="22"/>
      <w:szCs w:val="28"/>
      <w:lang w:val="en-AU"/>
    </w:rPr>
  </w:style>
  <w:style w:type="character" w:customStyle="1" w:styleId="76">
    <w:name w:val="页眉 字符"/>
    <w:basedOn w:val="18"/>
    <w:link w:val="15"/>
    <w:qFormat/>
    <w:uiPriority w:val="99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Baker &amp; McKenzie</Company>
  <Pages>2</Pages>
  <Words>183</Words>
  <Characters>1046</Characters>
  <Lines>8</Lines>
  <Paragraphs>2</Paragraphs>
  <TotalTime>0</TotalTime>
  <ScaleCrop>false</ScaleCrop>
  <LinksUpToDate>false</LinksUpToDate>
  <CharactersWithSpaces>1227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2021-09-30T03:33:00Z</dcterms:created>
  <dc:creator>Baker McKenzie FenXun</dc:creator>
  <cp:lastModifiedBy>greatwall</cp:lastModifiedBy>
  <dcterms:modified xsi:type="dcterms:W3CDTF">2021-10-22T10:38:53Z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