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40" w:lineRule="exact"/>
        <w:jc w:val="center"/>
        <w:rPr>
          <w:rFonts w:ascii="黑体" w:hAnsi="Times New Roman" w:eastAsia="黑体"/>
          <w:sz w:val="30"/>
          <w:szCs w:val="30"/>
        </w:rPr>
      </w:pPr>
      <w:r>
        <w:rPr>
          <w:rFonts w:hint="eastAsia" w:ascii="黑体" w:hAnsi="Times New Roman" w:eastAsia="黑体"/>
          <w:sz w:val="30"/>
          <w:szCs w:val="30"/>
        </w:rPr>
        <w:t>经营者集中简易案件公示表</w:t>
      </w:r>
    </w:p>
    <w:p>
      <w:pPr>
        <w:spacing w:line="440" w:lineRule="exact"/>
        <w:rPr>
          <w:rFonts w:ascii="黑体" w:hAnsi="Times New Roman" w:eastAsia="黑体"/>
          <w:sz w:val="28"/>
          <w:szCs w:val="28"/>
        </w:rPr>
      </w:pPr>
    </w:p>
    <w:p>
      <w:pPr>
        <w:spacing w:line="440" w:lineRule="exact"/>
        <w:ind w:firstLine="845" w:firstLineChars="302"/>
        <w:rPr>
          <w:rFonts w:ascii="仿宋_GB2312" w:hAnsi="Times New Roman" w:eastAsia="仿宋_GB2312"/>
          <w:sz w:val="28"/>
          <w:szCs w:val="28"/>
        </w:rPr>
      </w:pPr>
    </w:p>
    <w:tbl>
      <w:tblPr>
        <w:tblStyle w:val="4"/>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9"/>
        <w:gridCol w:w="1796"/>
        <w:gridCol w:w="51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案件名称</w:t>
            </w: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旭阳控股有限公司收购天津滨海能源发展股份有限公司股权案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3" w:hRule="atLeast"/>
        </w:trPr>
        <w:tc>
          <w:tcPr>
            <w:tcW w:w="1809" w:type="dxa"/>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交易概况</w:t>
            </w:r>
          </w:p>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（限200字内）</w:t>
            </w: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旭阳控股有限公司（“旭阳控股”）拟收购天津京津文化传媒发展有限公司持有的天津滨海能源发展股份有限公司（“滨海能源”）2</w:t>
            </w:r>
            <w:r>
              <w:rPr>
                <w:rFonts w:ascii="仿宋" w:hAnsi="仿宋" w:eastAsia="仿宋" w:cs="宋体"/>
                <w:color w:val="333333"/>
                <w:kern w:val="0"/>
                <w:sz w:val="24"/>
                <w:szCs w:val="24"/>
              </w:rPr>
              <w:t>0%</w:t>
            </w:r>
            <w:r>
              <w:rPr>
                <w:rFonts w:hint="eastAsia" w:ascii="仿宋" w:hAnsi="仿宋" w:eastAsia="仿宋" w:cs="宋体"/>
                <w:color w:val="333333"/>
                <w:kern w:val="0"/>
                <w:sz w:val="24"/>
                <w:szCs w:val="24"/>
              </w:rPr>
              <w:t>的股份。本次交易完成后，旭阳控股持有滨海能源2</w:t>
            </w:r>
            <w:r>
              <w:rPr>
                <w:rFonts w:ascii="仿宋" w:hAnsi="仿宋" w:eastAsia="仿宋" w:cs="宋体"/>
                <w:color w:val="333333"/>
                <w:kern w:val="0"/>
                <w:sz w:val="24"/>
                <w:szCs w:val="24"/>
              </w:rPr>
              <w:t>0%</w:t>
            </w:r>
            <w:r>
              <w:rPr>
                <w:rFonts w:hint="eastAsia" w:ascii="仿宋" w:hAnsi="仿宋" w:eastAsia="仿宋" w:cs="宋体"/>
                <w:color w:val="333333"/>
                <w:kern w:val="0"/>
                <w:sz w:val="24"/>
                <w:szCs w:val="24"/>
              </w:rPr>
              <w:t>的股份，单独控制滨海能源。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809" w:type="dxa"/>
            <w:vMerge w:val="restart"/>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参与集中的</w:t>
            </w:r>
          </w:p>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经营者简介</w:t>
            </w:r>
          </w:p>
        </w:tc>
        <w:tc>
          <w:tcPr>
            <w:tcW w:w="1796" w:type="dxa"/>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1、旭阳控股</w:t>
            </w:r>
          </w:p>
        </w:tc>
        <w:tc>
          <w:tcPr>
            <w:tcW w:w="5153" w:type="dxa"/>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旭阳控股于2</w:t>
            </w:r>
            <w:r>
              <w:rPr>
                <w:rFonts w:ascii="仿宋" w:hAnsi="仿宋" w:eastAsia="仿宋" w:cs="宋体"/>
                <w:color w:val="333333"/>
                <w:kern w:val="0"/>
                <w:sz w:val="24"/>
                <w:szCs w:val="24"/>
              </w:rPr>
              <w:t>004</w:t>
            </w:r>
            <w:r>
              <w:rPr>
                <w:rFonts w:hint="eastAsia" w:ascii="仿宋" w:hAnsi="仿宋" w:eastAsia="仿宋" w:cs="宋体"/>
                <w:color w:val="333333"/>
                <w:kern w:val="0"/>
                <w:sz w:val="24"/>
                <w:szCs w:val="24"/>
              </w:rPr>
              <w:t>年在北京成立，为一家持股平台公司，其下属企业主要从事钢材及煤炭产品的贸易、房地产开发与建设、化工产品及新材料的技术研发与服务等业务。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1796" w:type="dxa"/>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2、滨海能源</w:t>
            </w:r>
          </w:p>
        </w:tc>
        <w:tc>
          <w:tcPr>
            <w:tcW w:w="5153" w:type="dxa"/>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滨海能源（前身天津灯塔涂料股份有限公司）于1</w:t>
            </w:r>
            <w:r>
              <w:rPr>
                <w:rFonts w:ascii="仿宋" w:hAnsi="仿宋" w:eastAsia="仿宋" w:cs="宋体"/>
                <w:color w:val="333333"/>
                <w:kern w:val="0"/>
                <w:sz w:val="24"/>
                <w:szCs w:val="24"/>
              </w:rPr>
              <w:t>992</w:t>
            </w:r>
            <w:r>
              <w:rPr>
                <w:rFonts w:hint="eastAsia" w:ascii="仿宋" w:hAnsi="仿宋" w:eastAsia="仿宋" w:cs="宋体"/>
                <w:color w:val="333333"/>
                <w:kern w:val="0"/>
                <w:sz w:val="24"/>
                <w:szCs w:val="24"/>
              </w:rPr>
              <w:t>年在天津成立，并于1</w:t>
            </w:r>
            <w:r>
              <w:rPr>
                <w:rFonts w:ascii="仿宋" w:hAnsi="仿宋" w:eastAsia="仿宋" w:cs="宋体"/>
                <w:color w:val="333333"/>
                <w:kern w:val="0"/>
                <w:sz w:val="24"/>
                <w:szCs w:val="24"/>
              </w:rPr>
              <w:t>997</w:t>
            </w:r>
            <w:r>
              <w:rPr>
                <w:rFonts w:hint="eastAsia" w:ascii="仿宋" w:hAnsi="仿宋" w:eastAsia="仿宋" w:cs="宋体"/>
                <w:color w:val="333333"/>
                <w:kern w:val="0"/>
                <w:sz w:val="24"/>
                <w:szCs w:val="24"/>
              </w:rPr>
              <w:t>年2月18日在深圳证券交易所上市，目前其主营业务为印刷业务。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809" w:type="dxa"/>
            <w:vMerge w:val="restart"/>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简易案件理由（可以单选，也可以多选）</w:t>
            </w: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sym w:font="Wingdings" w:char="F0FE"/>
            </w:r>
            <w:r>
              <w:rPr>
                <w:rFonts w:hint="eastAsia" w:ascii="仿宋" w:hAnsi="仿宋" w:eastAsia="仿宋" w:cs="宋体"/>
                <w:color w:val="333333"/>
                <w:kern w:val="0"/>
                <w:sz w:val="24"/>
                <w:szCs w:val="24"/>
              </w:rPr>
              <w:t>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备注</w:t>
            </w:r>
          </w:p>
        </w:tc>
        <w:tc>
          <w:tcPr>
            <w:tcW w:w="6949" w:type="dxa"/>
            <w:gridSpan w:val="2"/>
          </w:tcPr>
          <w:p>
            <w:pPr>
              <w:spacing w:line="500" w:lineRule="exact"/>
              <w:rPr>
                <w:rFonts w:ascii="仿宋" w:hAnsi="仿宋" w:eastAsia="仿宋" w:cs="宋体"/>
                <w:color w:val="333333"/>
                <w:kern w:val="0"/>
                <w:sz w:val="24"/>
                <w:szCs w:val="24"/>
              </w:rPr>
            </w:pPr>
            <w:r>
              <w:rPr>
                <w:rFonts w:ascii="仿宋" w:hAnsi="仿宋" w:eastAsia="仿宋" w:cs="宋体"/>
                <w:color w:val="333333"/>
                <w:kern w:val="0"/>
                <w:sz w:val="24"/>
                <w:szCs w:val="24"/>
              </w:rPr>
              <w:t xml:space="preserve">1. </w:t>
            </w:r>
            <w:r>
              <w:rPr>
                <w:rFonts w:hint="eastAsia" w:ascii="仿宋" w:hAnsi="仿宋" w:eastAsia="仿宋" w:cs="宋体"/>
                <w:color w:val="333333"/>
                <w:kern w:val="0"/>
                <w:sz w:val="24"/>
                <w:szCs w:val="24"/>
              </w:rPr>
              <w:t>中国境内出版物印刷市场</w:t>
            </w:r>
          </w:p>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滨海能源:</w:t>
            </w:r>
            <w:r>
              <w:rPr>
                <w:rFonts w:ascii="仿宋" w:hAnsi="仿宋" w:eastAsia="仿宋" w:cs="宋体"/>
                <w:color w:val="333333"/>
                <w:kern w:val="0"/>
                <w:sz w:val="24"/>
                <w:szCs w:val="24"/>
              </w:rPr>
              <w:t>0-2%</w:t>
            </w:r>
          </w:p>
          <w:p>
            <w:pPr>
              <w:spacing w:line="500" w:lineRule="exact"/>
              <w:rPr>
                <w:rFonts w:ascii="仿宋" w:hAnsi="仿宋" w:eastAsia="仿宋" w:cs="宋体"/>
                <w:color w:val="333333"/>
                <w:kern w:val="0"/>
                <w:sz w:val="24"/>
                <w:szCs w:val="24"/>
              </w:rPr>
            </w:pPr>
            <w:r>
              <w:rPr>
                <w:rFonts w:ascii="仿宋" w:hAnsi="仿宋" w:eastAsia="仿宋" w:cs="宋体"/>
                <w:color w:val="333333"/>
                <w:kern w:val="0"/>
                <w:sz w:val="24"/>
                <w:szCs w:val="24"/>
              </w:rPr>
              <w:t xml:space="preserve">2. </w:t>
            </w:r>
            <w:r>
              <w:rPr>
                <w:rFonts w:hint="eastAsia" w:ascii="仿宋" w:hAnsi="仿宋" w:eastAsia="仿宋" w:cs="宋体"/>
                <w:color w:val="333333"/>
                <w:kern w:val="0"/>
                <w:sz w:val="24"/>
                <w:szCs w:val="24"/>
              </w:rPr>
              <w:t>中国境内包装印刷市场</w:t>
            </w:r>
          </w:p>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滨海能源:</w:t>
            </w:r>
            <w:r>
              <w:rPr>
                <w:rFonts w:ascii="仿宋" w:hAnsi="仿宋" w:eastAsia="仿宋" w:cs="宋体"/>
                <w:color w:val="333333"/>
                <w:kern w:val="0"/>
                <w:sz w:val="24"/>
                <w:szCs w:val="24"/>
              </w:rPr>
              <w:t>0-2%</w:t>
            </w:r>
          </w:p>
        </w:tc>
      </w:tr>
    </w:tbl>
    <w:p>
      <w:pPr>
        <w:snapToGrid w:val="0"/>
        <w:spacing w:line="240" w:lineRule="exact"/>
        <w:jc w:val="left"/>
        <w:rPr>
          <w:rFonts w:ascii="楷体_GB2312" w:hAnsi="宋体" w:eastAsia="楷体_GB2312"/>
          <w:sz w:val="24"/>
          <w:szCs w:val="24"/>
        </w:rPr>
      </w:pPr>
    </w:p>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panose1 w:val="02010600030101010101"/>
    <w:charset w:val="86"/>
    <w:family w:val="auto"/>
    <w:pitch w:val="default"/>
    <w:sig w:usb0="A00002BF" w:usb1="38CF7CFA" w:usb2="00000016" w:usb3="00000000" w:csb0="0004000F" w:csb1="0000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楷体_GB2312">
    <w:panose1 w:val="02010609030101010101"/>
    <w:charset w:val="86"/>
    <w:family w:val="modern"/>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00DF"/>
    <w:rsid w:val="00037065"/>
    <w:rsid w:val="00072B54"/>
    <w:rsid w:val="000D7EBA"/>
    <w:rsid w:val="001164CD"/>
    <w:rsid w:val="00155717"/>
    <w:rsid w:val="001606BA"/>
    <w:rsid w:val="001837A3"/>
    <w:rsid w:val="00322800"/>
    <w:rsid w:val="00356547"/>
    <w:rsid w:val="003C0AEB"/>
    <w:rsid w:val="00407EC6"/>
    <w:rsid w:val="004D314D"/>
    <w:rsid w:val="004F5FEF"/>
    <w:rsid w:val="004F7688"/>
    <w:rsid w:val="00585663"/>
    <w:rsid w:val="005937F6"/>
    <w:rsid w:val="005B5C92"/>
    <w:rsid w:val="005E3BC9"/>
    <w:rsid w:val="006467D8"/>
    <w:rsid w:val="006A373E"/>
    <w:rsid w:val="006A531B"/>
    <w:rsid w:val="006F3596"/>
    <w:rsid w:val="006F7693"/>
    <w:rsid w:val="00710140"/>
    <w:rsid w:val="00740CBB"/>
    <w:rsid w:val="00746414"/>
    <w:rsid w:val="007F2275"/>
    <w:rsid w:val="00850EB2"/>
    <w:rsid w:val="00873E21"/>
    <w:rsid w:val="008E3D41"/>
    <w:rsid w:val="008F1A3E"/>
    <w:rsid w:val="00915F0F"/>
    <w:rsid w:val="009532DF"/>
    <w:rsid w:val="00997019"/>
    <w:rsid w:val="009A5029"/>
    <w:rsid w:val="009D38D5"/>
    <w:rsid w:val="009D7F6F"/>
    <w:rsid w:val="00A01012"/>
    <w:rsid w:val="00A53F26"/>
    <w:rsid w:val="00AA0CC5"/>
    <w:rsid w:val="00AB194B"/>
    <w:rsid w:val="00AF556C"/>
    <w:rsid w:val="00B16AFE"/>
    <w:rsid w:val="00B65DD5"/>
    <w:rsid w:val="00BA039E"/>
    <w:rsid w:val="00BC5CBD"/>
    <w:rsid w:val="00BD10B6"/>
    <w:rsid w:val="00C07076"/>
    <w:rsid w:val="00C537B5"/>
    <w:rsid w:val="00C5398F"/>
    <w:rsid w:val="00CB00DF"/>
    <w:rsid w:val="00CC654C"/>
    <w:rsid w:val="00CE1299"/>
    <w:rsid w:val="00CE20E6"/>
    <w:rsid w:val="00D73C72"/>
    <w:rsid w:val="00DC22DA"/>
    <w:rsid w:val="00E0592B"/>
    <w:rsid w:val="00E31738"/>
    <w:rsid w:val="00E813C1"/>
    <w:rsid w:val="00E86786"/>
    <w:rsid w:val="00EA1862"/>
    <w:rsid w:val="00ED2F80"/>
    <w:rsid w:val="00F1624E"/>
    <w:rsid w:val="00F32F8A"/>
    <w:rsid w:val="00F810AA"/>
    <w:rsid w:val="00FB43EC"/>
    <w:rsid w:val="00FB6B40"/>
    <w:rsid w:val="1F002826"/>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8"/>
    <w:unhideWhenUsed/>
    <w:uiPriority w:val="99"/>
    <w:pPr>
      <w:tabs>
        <w:tab w:val="center" w:pos="4153"/>
        <w:tab w:val="right" w:pos="8306"/>
      </w:tabs>
      <w:snapToGrid w:val="0"/>
      <w:jc w:val="left"/>
    </w:pPr>
    <w:rPr>
      <w:sz w:val="18"/>
      <w:szCs w:val="18"/>
    </w:rPr>
  </w:style>
  <w:style w:type="paragraph" w:styleId="3">
    <w:name w:val="header"/>
    <w:basedOn w:val="1"/>
    <w:link w:val="7"/>
    <w:unhideWhenUsed/>
    <w:uiPriority w:val="99"/>
    <w:pPr>
      <w:pBdr>
        <w:bottom w:val="single" w:color="auto" w:sz="6" w:space="1"/>
      </w:pBdr>
      <w:tabs>
        <w:tab w:val="center" w:pos="4153"/>
        <w:tab w:val="right" w:pos="8306"/>
      </w:tabs>
      <w:snapToGrid w:val="0"/>
      <w:jc w:val="center"/>
    </w:pPr>
    <w:rPr>
      <w:sz w:val="18"/>
      <w:szCs w:val="18"/>
    </w:rPr>
  </w:style>
  <w:style w:type="paragraph" w:styleId="6">
    <w:name w:val="List Paragraph"/>
    <w:basedOn w:val="1"/>
    <w:qFormat/>
    <w:uiPriority w:val="34"/>
    <w:pPr>
      <w:ind w:left="720"/>
      <w:contextualSpacing/>
    </w:pPr>
  </w:style>
  <w:style w:type="character" w:customStyle="1" w:styleId="7">
    <w:name w:val="页眉 字符"/>
    <w:basedOn w:val="5"/>
    <w:link w:val="3"/>
    <w:uiPriority w:val="99"/>
    <w:rPr>
      <w:rFonts w:ascii="Calibri" w:hAnsi="Calibri" w:eastAsia="宋体" w:cs="Times New Roman"/>
      <w:sz w:val="18"/>
      <w:szCs w:val="18"/>
    </w:rPr>
  </w:style>
  <w:style w:type="character" w:customStyle="1" w:styleId="8">
    <w:name w:val="页脚 字符"/>
    <w:basedOn w:val="5"/>
    <w:link w:val="2"/>
    <w:qFormat/>
    <w:uiPriority w:val="99"/>
    <w:rPr>
      <w:rFonts w:ascii="Calibri" w:hAnsi="Calibri" w:eastAsia="宋体" w:cs="Times New Roman"/>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104</Words>
  <Characters>599</Characters>
  <Lines>4</Lines>
  <Paragraphs>1</Paragraphs>
  <TotalTime>11</TotalTime>
  <ScaleCrop>false</ScaleCrop>
  <LinksUpToDate>false</LinksUpToDate>
  <CharactersWithSpaces>702</CharactersWithSpaces>
  <Application>WPS Office_11.8.2.10393_F1E327BC-269C-435d-A152-05C5408002CA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2021-11-10T03:43:00Z</dcterms:created>
  <dc:creator>陈媚</dc:creator>
  <cp:lastModifiedBy>杨钧翰</cp:lastModifiedBy>
  <cp:lastPrinted>2021-11-15T02:56:03Z</cp:lastPrinted>
  <dcterms:modified xsi:type="dcterms:W3CDTF">2021-11-15T02:56:08Z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2052-11.8.2.10393</vt:lpwstr>
  </property>
</Properties>
</file>